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1C" w:rsidRPr="00985EDF" w:rsidRDefault="007D77B0" w:rsidP="00483088">
      <w:pPr>
        <w:jc w:val="center"/>
        <w:rPr>
          <w:color w:val="000000" w:themeColor="text1"/>
          <w:sz w:val="28"/>
          <w:szCs w:val="28"/>
          <w:lang w:val="bs-Latn-BA"/>
        </w:rPr>
      </w:pPr>
      <w:r>
        <w:rPr>
          <w:color w:val="000000" w:themeColor="text1"/>
          <w:sz w:val="28"/>
          <w:szCs w:val="28"/>
          <w:lang w:val="bs-Latn-BA"/>
        </w:rPr>
        <w:t>КОМИСИЈА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  <w:r>
        <w:rPr>
          <w:color w:val="000000" w:themeColor="text1"/>
          <w:sz w:val="28"/>
          <w:szCs w:val="28"/>
          <w:lang w:val="bs-Latn-BA"/>
        </w:rPr>
        <w:t>ЗА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  <w:r>
        <w:rPr>
          <w:color w:val="000000" w:themeColor="text1"/>
          <w:sz w:val="28"/>
          <w:szCs w:val="28"/>
          <w:lang w:val="bs-Latn-BA"/>
        </w:rPr>
        <w:t>РАЧУНОВОДСТВО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  <w:r>
        <w:rPr>
          <w:color w:val="000000" w:themeColor="text1"/>
          <w:sz w:val="28"/>
          <w:szCs w:val="28"/>
          <w:lang w:val="bs-Latn-BA"/>
        </w:rPr>
        <w:t>И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  <w:r>
        <w:rPr>
          <w:color w:val="000000" w:themeColor="text1"/>
          <w:sz w:val="28"/>
          <w:szCs w:val="28"/>
          <w:lang w:val="bs-Latn-BA"/>
        </w:rPr>
        <w:t>РЕВИЗИЈУ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</w:p>
    <w:p w:rsidR="0064701C" w:rsidRPr="00985EDF" w:rsidRDefault="007D77B0" w:rsidP="00862438">
      <w:pPr>
        <w:jc w:val="center"/>
        <w:rPr>
          <w:color w:val="000000" w:themeColor="text1"/>
          <w:sz w:val="28"/>
          <w:szCs w:val="28"/>
          <w:lang w:val="bs-Latn-BA"/>
        </w:rPr>
      </w:pPr>
      <w:r>
        <w:rPr>
          <w:color w:val="000000" w:themeColor="text1"/>
          <w:sz w:val="28"/>
          <w:szCs w:val="28"/>
          <w:lang w:val="bs-Latn-BA"/>
        </w:rPr>
        <w:t>БОСНЕ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  <w:r>
        <w:rPr>
          <w:color w:val="000000" w:themeColor="text1"/>
          <w:sz w:val="28"/>
          <w:szCs w:val="28"/>
          <w:lang w:val="bs-Latn-BA"/>
        </w:rPr>
        <w:t>И</w:t>
      </w:r>
      <w:r w:rsidR="0064701C" w:rsidRPr="00985EDF">
        <w:rPr>
          <w:color w:val="000000" w:themeColor="text1"/>
          <w:sz w:val="28"/>
          <w:szCs w:val="28"/>
          <w:lang w:val="bs-Latn-BA"/>
        </w:rPr>
        <w:t xml:space="preserve"> </w:t>
      </w:r>
      <w:r>
        <w:rPr>
          <w:color w:val="000000" w:themeColor="text1"/>
          <w:sz w:val="28"/>
          <w:szCs w:val="28"/>
          <w:lang w:val="bs-Latn-BA"/>
        </w:rPr>
        <w:t>ХЕРЦЕГОВИНЕ</w:t>
      </w:r>
    </w:p>
    <w:p w:rsidR="0064701C" w:rsidRPr="00985EDF" w:rsidRDefault="0064701C" w:rsidP="00862438">
      <w:pPr>
        <w:jc w:val="center"/>
        <w:rPr>
          <w:b/>
          <w:color w:val="000000" w:themeColor="text1"/>
          <w:lang w:val="bs-Latn-BA"/>
        </w:rPr>
      </w:pPr>
    </w:p>
    <w:p w:rsidR="0064701C" w:rsidRPr="00985EDF" w:rsidRDefault="007D77B0" w:rsidP="00862438">
      <w:pPr>
        <w:jc w:val="center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ИСПИТ</w:t>
      </w:r>
      <w:r w:rsidR="0064701C" w:rsidRPr="00985EDF">
        <w:rPr>
          <w:color w:val="000000" w:themeColor="text1"/>
          <w:lang w:val="bs-Latn-BA"/>
        </w:rPr>
        <w:t xml:space="preserve"> </w:t>
      </w:r>
      <w:r>
        <w:rPr>
          <w:color w:val="000000" w:themeColor="text1"/>
          <w:lang w:val="bs-Latn-BA"/>
        </w:rPr>
        <w:t>ЗА</w:t>
      </w:r>
      <w:r w:rsidR="0064701C" w:rsidRPr="00985EDF">
        <w:rPr>
          <w:color w:val="000000" w:themeColor="text1"/>
          <w:lang w:val="bs-Latn-BA"/>
        </w:rPr>
        <w:t xml:space="preserve"> </w:t>
      </w:r>
      <w:r>
        <w:rPr>
          <w:color w:val="000000" w:themeColor="text1"/>
          <w:lang w:val="bs-Latn-BA"/>
        </w:rPr>
        <w:t>СТИЦАЊЕ</w:t>
      </w:r>
      <w:r w:rsidR="0064701C" w:rsidRPr="00985EDF">
        <w:rPr>
          <w:color w:val="000000" w:themeColor="text1"/>
          <w:lang w:val="bs-Latn-BA"/>
        </w:rPr>
        <w:t xml:space="preserve"> </w:t>
      </w:r>
      <w:r>
        <w:rPr>
          <w:color w:val="000000" w:themeColor="text1"/>
          <w:lang w:val="bs-Latn-BA"/>
        </w:rPr>
        <w:t>ПРОФЕСИОНАЛНОГ</w:t>
      </w:r>
      <w:r w:rsidR="0064701C" w:rsidRPr="00985EDF">
        <w:rPr>
          <w:color w:val="000000" w:themeColor="text1"/>
          <w:lang w:val="bs-Latn-BA"/>
        </w:rPr>
        <w:t xml:space="preserve"> </w:t>
      </w:r>
      <w:r>
        <w:rPr>
          <w:color w:val="000000" w:themeColor="text1"/>
          <w:lang w:val="bs-Latn-BA"/>
        </w:rPr>
        <w:t>ЗВАЊА</w:t>
      </w:r>
    </w:p>
    <w:p w:rsidR="0064701C" w:rsidRPr="00985EDF" w:rsidRDefault="00BC4B68" w:rsidP="00862438">
      <w:pPr>
        <w:jc w:val="center"/>
        <w:rPr>
          <w:b/>
          <w:color w:val="000000" w:themeColor="text1"/>
          <w:lang w:val="bs-Latn-BA"/>
        </w:rPr>
      </w:pPr>
      <w:r>
        <w:rPr>
          <w:b/>
          <w:color w:val="000000" w:themeColor="text1"/>
          <w:lang/>
        </w:rPr>
        <w:t>С</w:t>
      </w:r>
      <w:r w:rsidR="007D77B0">
        <w:rPr>
          <w:b/>
          <w:color w:val="000000" w:themeColor="text1"/>
          <w:lang w:val="sr-Cyrl-CS"/>
        </w:rPr>
        <w:t>ЕРТИФИ</w:t>
      </w:r>
      <w:r>
        <w:rPr>
          <w:b/>
          <w:color w:val="000000" w:themeColor="text1"/>
          <w:lang/>
        </w:rPr>
        <w:t>КОВ</w:t>
      </w:r>
      <w:r w:rsidR="007D77B0">
        <w:rPr>
          <w:b/>
          <w:color w:val="000000" w:themeColor="text1"/>
          <w:lang w:val="sr-Cyrl-CS"/>
        </w:rPr>
        <w:t>АНИ</w:t>
      </w:r>
      <w:r w:rsidR="0064701C" w:rsidRPr="00985EDF">
        <w:rPr>
          <w:b/>
          <w:color w:val="000000" w:themeColor="text1"/>
          <w:lang w:val="bs-Latn-BA"/>
        </w:rPr>
        <w:t xml:space="preserve"> </w:t>
      </w:r>
      <w:r w:rsidR="007D77B0">
        <w:rPr>
          <w:b/>
          <w:color w:val="000000" w:themeColor="text1"/>
          <w:lang w:val="bs-Latn-BA"/>
        </w:rPr>
        <w:t>РАЧУНОВОЂА</w:t>
      </w:r>
    </w:p>
    <w:p w:rsidR="0064701C" w:rsidRPr="00985EDF" w:rsidRDefault="0064701C" w:rsidP="00862438">
      <w:pPr>
        <w:jc w:val="center"/>
        <w:rPr>
          <w:color w:val="000000" w:themeColor="text1"/>
          <w:lang w:val="bs-Latn-BA"/>
        </w:rPr>
      </w:pPr>
      <w:r w:rsidRPr="00985EDF">
        <w:rPr>
          <w:color w:val="000000" w:themeColor="text1"/>
          <w:lang w:val="bs-Latn-BA"/>
        </w:rPr>
        <w:t>(</w:t>
      </w:r>
      <w:r w:rsidR="007D77B0">
        <w:rPr>
          <w:color w:val="000000" w:themeColor="text1"/>
          <w:lang w:val="bs-Latn-BA"/>
        </w:rPr>
        <w:t>ИСПИТНИ</w:t>
      </w:r>
      <w:r w:rsidRPr="00985EDF">
        <w:rPr>
          <w:color w:val="000000" w:themeColor="text1"/>
          <w:lang w:val="bs-Latn-BA"/>
        </w:rPr>
        <w:t xml:space="preserve"> </w:t>
      </w:r>
      <w:r w:rsidR="007D77B0">
        <w:rPr>
          <w:color w:val="000000" w:themeColor="text1"/>
          <w:lang w:val="bs-Latn-BA"/>
        </w:rPr>
        <w:t>ТЕРМИН</w:t>
      </w:r>
      <w:r w:rsidRPr="00985EDF">
        <w:rPr>
          <w:color w:val="000000" w:themeColor="text1"/>
          <w:lang w:val="bs-Latn-BA"/>
        </w:rPr>
        <w:t xml:space="preserve">: </w:t>
      </w:r>
      <w:r w:rsidR="007D77B0">
        <w:rPr>
          <w:color w:val="000000" w:themeColor="text1"/>
        </w:rPr>
        <w:t>ЈУНИ</w:t>
      </w:r>
      <w:r w:rsidRPr="00985EDF">
        <w:rPr>
          <w:color w:val="000000" w:themeColor="text1"/>
        </w:rPr>
        <w:t xml:space="preserve"> </w:t>
      </w:r>
      <w:r w:rsidRPr="00985EDF">
        <w:rPr>
          <w:color w:val="000000" w:themeColor="text1"/>
          <w:lang w:val="bs-Latn-BA"/>
        </w:rPr>
        <w:t>201</w:t>
      </w:r>
      <w:r w:rsidR="00713D3F" w:rsidRPr="00985EDF">
        <w:rPr>
          <w:color w:val="000000" w:themeColor="text1"/>
        </w:rPr>
        <w:t>4</w:t>
      </w:r>
      <w:r w:rsidRPr="00985EDF">
        <w:rPr>
          <w:color w:val="000000" w:themeColor="text1"/>
          <w:lang w:val="bs-Latn-BA"/>
        </w:rPr>
        <w:t>.</w:t>
      </w:r>
      <w:r w:rsidR="00713D3F" w:rsidRPr="00985EDF">
        <w:rPr>
          <w:color w:val="000000" w:themeColor="text1"/>
          <w:lang w:val="bs-Latn-BA"/>
        </w:rPr>
        <w:t xml:space="preserve"> </w:t>
      </w:r>
      <w:r w:rsidR="007D77B0">
        <w:rPr>
          <w:color w:val="000000" w:themeColor="text1"/>
          <w:lang w:val="bs-Latn-BA"/>
        </w:rPr>
        <w:t>ГОДИНЕ</w:t>
      </w:r>
      <w:r w:rsidRPr="00985EDF">
        <w:rPr>
          <w:color w:val="000000" w:themeColor="text1"/>
          <w:lang w:val="bs-Latn-BA"/>
        </w:rPr>
        <w:t>)</w:t>
      </w:r>
    </w:p>
    <w:p w:rsidR="0064701C" w:rsidRPr="00985EDF" w:rsidRDefault="0064701C" w:rsidP="00862438">
      <w:pPr>
        <w:jc w:val="center"/>
        <w:rPr>
          <w:b/>
          <w:color w:val="000000" w:themeColor="text1"/>
          <w:lang w:val="bs-Latn-BA"/>
        </w:rPr>
      </w:pPr>
    </w:p>
    <w:p w:rsidR="0064701C" w:rsidRPr="00985EDF" w:rsidRDefault="007D77B0" w:rsidP="00862438">
      <w:pPr>
        <w:jc w:val="center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ПРЕДМЕТ</w:t>
      </w:r>
      <w:r w:rsidR="0064701C" w:rsidRPr="00985EDF">
        <w:rPr>
          <w:color w:val="000000" w:themeColor="text1"/>
          <w:lang w:val="bs-Latn-BA"/>
        </w:rPr>
        <w:t xml:space="preserve"> 7: </w:t>
      </w:r>
    </w:p>
    <w:p w:rsidR="0064701C" w:rsidRPr="0038360E" w:rsidRDefault="007D77B0" w:rsidP="00862438">
      <w:pPr>
        <w:jc w:val="center"/>
        <w:rPr>
          <w:b/>
          <w:color w:val="000000" w:themeColor="text1"/>
          <w:lang w:val="bs-Latn-BA"/>
        </w:rPr>
      </w:pPr>
      <w:r>
        <w:rPr>
          <w:b/>
          <w:color w:val="000000" w:themeColor="text1"/>
          <w:lang w:val="bs-Latn-BA"/>
        </w:rPr>
        <w:t>ФИНАНСИЈСКО</w:t>
      </w:r>
      <w:r w:rsidR="0064701C" w:rsidRPr="0038360E">
        <w:rPr>
          <w:b/>
          <w:color w:val="000000" w:themeColor="text1"/>
          <w:lang w:val="bs-Latn-BA"/>
        </w:rPr>
        <w:t xml:space="preserve"> </w:t>
      </w:r>
      <w:r>
        <w:rPr>
          <w:b/>
          <w:color w:val="000000" w:themeColor="text1"/>
          <w:lang w:val="bs-Latn-BA"/>
        </w:rPr>
        <w:t>ИЗВЈЕШТАВАЊЕ</w:t>
      </w:r>
      <w:r w:rsidR="0064701C" w:rsidRPr="0038360E">
        <w:rPr>
          <w:b/>
          <w:color w:val="000000" w:themeColor="text1"/>
          <w:lang w:val="bs-Latn-BA"/>
        </w:rPr>
        <w:t xml:space="preserve"> 2</w:t>
      </w:r>
    </w:p>
    <w:p w:rsidR="0064701C" w:rsidRPr="00985EDF" w:rsidRDefault="0064701C" w:rsidP="00862438">
      <w:pPr>
        <w:jc w:val="both"/>
        <w:rPr>
          <w:b/>
          <w:color w:val="000000" w:themeColor="text1"/>
        </w:rPr>
      </w:pPr>
    </w:p>
    <w:p w:rsidR="0064701C" w:rsidRPr="00985EDF" w:rsidRDefault="007D77B0" w:rsidP="00862438">
      <w:pPr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bs-Latn-BA"/>
        </w:rPr>
        <w:t>И</w:t>
      </w:r>
      <w:r w:rsidR="0064701C" w:rsidRPr="00985EDF">
        <w:rPr>
          <w:b/>
          <w:color w:val="000000" w:themeColor="text1"/>
          <w:lang w:val="bs-Latn-BA"/>
        </w:rPr>
        <w:t xml:space="preserve"> - </w:t>
      </w:r>
      <w:r>
        <w:rPr>
          <w:b/>
          <w:color w:val="000000" w:themeColor="text1"/>
          <w:lang w:val="bs-Latn-BA"/>
        </w:rPr>
        <w:t>ТЕСТ</w:t>
      </w:r>
      <w:r w:rsidR="0064701C" w:rsidRPr="00985EDF">
        <w:rPr>
          <w:b/>
          <w:color w:val="000000" w:themeColor="text1"/>
          <w:lang w:val="bs-Latn-BA"/>
        </w:rPr>
        <w:t xml:space="preserve"> </w:t>
      </w:r>
      <w:r>
        <w:rPr>
          <w:b/>
          <w:color w:val="000000" w:themeColor="text1"/>
          <w:lang w:val="bs-Latn-BA"/>
        </w:rPr>
        <w:t>П</w:t>
      </w:r>
      <w:r>
        <w:rPr>
          <w:b/>
          <w:color w:val="000000" w:themeColor="text1"/>
          <w:lang w:val="bs-Cyrl-BA"/>
        </w:rPr>
        <w:t>И</w:t>
      </w:r>
      <w:r>
        <w:rPr>
          <w:b/>
          <w:color w:val="000000" w:themeColor="text1"/>
          <w:lang w:val="bs-Latn-BA"/>
        </w:rPr>
        <w:t>ТАЊ</w:t>
      </w:r>
      <w:r>
        <w:rPr>
          <w:b/>
          <w:color w:val="000000" w:themeColor="text1"/>
        </w:rPr>
        <w:t>А</w:t>
      </w:r>
    </w:p>
    <w:p w:rsidR="000108B5" w:rsidRPr="00985EDF" w:rsidRDefault="000108B5" w:rsidP="00862438">
      <w:pPr>
        <w:jc w:val="both"/>
        <w:rPr>
          <w:b/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условима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постојања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тренда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смањења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набавних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цијена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залиха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материјала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до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највишег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износа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бруто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финансијског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резултата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периоду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довешће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примјена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</w:rPr>
        <w:t>ФИФО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методе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</w:rPr>
        <w:t>ЛИФО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методе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методе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пондерисане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просјечне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цијене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методе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специфичне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идентификације</w:t>
      </w:r>
    </w:p>
    <w:p w:rsidR="00445B50" w:rsidRPr="00985EDF" w:rsidRDefault="00445B50" w:rsidP="00D52CA7">
      <w:pPr>
        <w:jc w:val="both"/>
        <w:rPr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складу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МРС</w:t>
      </w:r>
      <w:r w:rsidR="00D52CA7" w:rsidRPr="00985EDF">
        <w:rPr>
          <w:b/>
          <w:color w:val="000000" w:themeColor="text1"/>
          <w:lang w:val="sr-Cyrl-CS"/>
        </w:rPr>
        <w:t xml:space="preserve"> 41 – </w:t>
      </w:r>
      <w:r>
        <w:rPr>
          <w:b/>
          <w:color w:val="000000" w:themeColor="text1"/>
          <w:lang w:val="sr-Cyrl-CS"/>
        </w:rPr>
        <w:t>Пољопривреда</w:t>
      </w:r>
      <w:r w:rsidR="00D52CA7" w:rsidRPr="00985EDF">
        <w:rPr>
          <w:b/>
          <w:color w:val="000000" w:themeColor="text1"/>
          <w:lang w:val="sr-Cyrl-CS"/>
        </w:rPr>
        <w:t xml:space="preserve">, </w:t>
      </w:r>
      <w:r>
        <w:rPr>
          <w:b/>
          <w:color w:val="000000" w:themeColor="text1"/>
          <w:lang w:val="sr-Cyrl-CS"/>
        </w:rPr>
        <w:t>залихе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пољопривредних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производа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првом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билансу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стања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формираном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након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њихове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жетве</w:t>
      </w:r>
      <w:r w:rsidR="00D52CA7" w:rsidRPr="00985EDF">
        <w:rPr>
          <w:b/>
          <w:color w:val="000000" w:themeColor="text1"/>
          <w:lang w:val="sr-Cyrl-CS"/>
        </w:rPr>
        <w:t xml:space="preserve"> – </w:t>
      </w:r>
      <w:r>
        <w:rPr>
          <w:b/>
          <w:color w:val="000000" w:themeColor="text1"/>
          <w:lang w:val="sr-Cyrl-CS"/>
        </w:rPr>
        <w:t>убирања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исказују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висини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њихове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фер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вриједности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цијене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коштања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цијене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коштања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или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нето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продајне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зависности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тога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која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нижа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продајне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</w:p>
    <w:p w:rsidR="00445B50" w:rsidRPr="00985EDF" w:rsidRDefault="00445B50" w:rsidP="00D52CA7">
      <w:pPr>
        <w:jc w:val="both"/>
        <w:rPr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Према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МСФИ</w:t>
      </w:r>
      <w:r w:rsidR="00D52CA7" w:rsidRPr="00985EDF">
        <w:rPr>
          <w:b/>
          <w:color w:val="000000" w:themeColor="text1"/>
          <w:lang w:val="sr-Cyrl-CS"/>
        </w:rPr>
        <w:t xml:space="preserve"> 5, </w:t>
      </w:r>
      <w:r>
        <w:rPr>
          <w:b/>
          <w:color w:val="000000" w:themeColor="text1"/>
          <w:lang w:val="sr-Cyrl-CS"/>
        </w:rPr>
        <w:t>категорији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сталних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средстава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намијењених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продаји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отуђењу</w:t>
      </w:r>
      <w:r w:rsidR="00D52CA7" w:rsidRPr="00985EDF">
        <w:rPr>
          <w:b/>
          <w:color w:val="000000" w:themeColor="text1"/>
          <w:lang w:val="sr-Cyrl-CS"/>
        </w:rPr>
        <w:t xml:space="preserve">, </w:t>
      </w:r>
      <w:r>
        <w:rPr>
          <w:b/>
          <w:color w:val="000000" w:themeColor="text1"/>
          <w:lang w:val="sr-Cyrl-CS"/>
        </w:rPr>
        <w:t>поред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осталих</w:t>
      </w:r>
      <w:r w:rsidR="00D52CA7" w:rsidRPr="00985EDF">
        <w:rPr>
          <w:b/>
          <w:color w:val="000000" w:themeColor="text1"/>
          <w:lang w:val="sr-Cyrl-CS"/>
        </w:rPr>
        <w:t xml:space="preserve">, </w:t>
      </w:r>
      <w:r>
        <w:rPr>
          <w:b/>
          <w:color w:val="000000" w:themeColor="text1"/>
          <w:lang w:val="sr-Cyrl-CS"/>
        </w:rPr>
        <w:t>припада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свако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стално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средство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које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више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доприноси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притицању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економских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користи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правно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лице</w:t>
      </w:r>
      <w:r w:rsidR="00D52CA7" w:rsidRPr="0038360E">
        <w:rPr>
          <w:color w:val="000000" w:themeColor="text1"/>
          <w:lang w:val="sr-Cyrl-CS"/>
        </w:rPr>
        <w:t>,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које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потпуности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амортизовано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без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обзира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ли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налази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употреби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или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које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управа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намјерава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прода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периоду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наредног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датума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биланса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стања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  <w:lang w:val="sr-Cyrl-CS"/>
        </w:rPr>
        <w:t>које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је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повучено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из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редовне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употребе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доказивом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намјером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способношћу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управе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да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га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прода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у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краткорочном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периоду</w:t>
      </w:r>
    </w:p>
    <w:p w:rsidR="00445B50" w:rsidRPr="00985EDF" w:rsidRDefault="00445B50" w:rsidP="00D52CA7">
      <w:pPr>
        <w:jc w:val="both"/>
        <w:rPr>
          <w:b/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Иницијална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вриједност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опреме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закупљене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кроз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систем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финансијског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лизинга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једнака</w:t>
      </w:r>
      <w:r w:rsidR="00D52CA7" w:rsidRPr="00985EDF">
        <w:rPr>
          <w:b/>
          <w:color w:val="000000" w:themeColor="text1"/>
          <w:lang w:val="sr-Cyrl-CS"/>
        </w:rPr>
        <w:t xml:space="preserve">  </w:t>
      </w:r>
      <w:r>
        <w:rPr>
          <w:b/>
          <w:color w:val="000000" w:themeColor="text1"/>
          <w:lang w:val="sr-Cyrl-CS"/>
        </w:rPr>
        <w:t>је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bs-Latn-BA"/>
        </w:rPr>
      </w:pPr>
      <w:r>
        <w:rPr>
          <w:color w:val="000000" w:themeColor="text1"/>
          <w:u w:val="single"/>
          <w:lang w:val="sr-Cyrl-CS"/>
        </w:rPr>
        <w:t>фер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вриједности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опреме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или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садашњој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вриједности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минималних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мјесечних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плаћања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за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закуп</w:t>
      </w:r>
      <w:r w:rsidR="00D52CA7" w:rsidRPr="0038360E">
        <w:rPr>
          <w:color w:val="000000" w:themeColor="text1"/>
          <w:u w:val="single"/>
          <w:lang w:val="sr-Cyrl-CS"/>
        </w:rPr>
        <w:t xml:space="preserve">, </w:t>
      </w:r>
      <w:r>
        <w:rPr>
          <w:color w:val="000000" w:themeColor="text1"/>
          <w:u w:val="single"/>
          <w:lang w:val="sr-Cyrl-CS"/>
        </w:rPr>
        <w:t>у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зависности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од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тога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која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од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тих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вриједности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је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нижа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фер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опреме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уколико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већа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њене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набавне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нето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фактурној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опреме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увећаној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зависне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трошкове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набавке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нето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фактурној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опреме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увећаној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зависне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трошкове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набавке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порез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додату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исказан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фактури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добављача</w:t>
      </w:r>
    </w:p>
    <w:p w:rsidR="00445B50" w:rsidRPr="00985EDF" w:rsidRDefault="00445B50" w:rsidP="00D52CA7">
      <w:pPr>
        <w:jc w:val="both"/>
        <w:rPr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Рачуноводствене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политике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обухватају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технике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процјене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износа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исправке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потраживања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купаца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методе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амортизације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нематеријалне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имовине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методе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процјене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фер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биолошке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имовине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методе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утврђивања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набавне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– </w:t>
      </w:r>
      <w:r>
        <w:rPr>
          <w:color w:val="000000" w:themeColor="text1"/>
          <w:lang w:val="sr-Cyrl-CS"/>
        </w:rPr>
        <w:t>цијене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коштања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залиха</w:t>
      </w: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lastRenderedPageBreak/>
        <w:t>Рачуноводствене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процјене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обухватају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методе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bs-Latn-BA"/>
        </w:rPr>
      </w:pPr>
      <w:r>
        <w:rPr>
          <w:color w:val="000000" w:themeColor="text1"/>
          <w:u w:val="single"/>
          <w:lang w:val="sr-Cyrl-CS"/>
        </w:rPr>
        <w:t>израчунавања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нето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продајне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вриједности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залиха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амортизације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сталне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материјалне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имовине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обрачуна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набавне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38360E">
        <w:rPr>
          <w:color w:val="000000" w:themeColor="text1"/>
          <w:lang w:val="sr-Cyrl-CS"/>
        </w:rPr>
        <w:t xml:space="preserve"> – </w:t>
      </w:r>
      <w:r>
        <w:rPr>
          <w:color w:val="000000" w:themeColor="text1"/>
          <w:lang w:val="sr-Cyrl-CS"/>
        </w:rPr>
        <w:t>цијене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коштања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реализованих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залиха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  <w:lang w:val="sr-Cyrl-CS"/>
        </w:rPr>
        <w:t>дисконтовања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дугорочних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резервисања</w:t>
      </w:r>
    </w:p>
    <w:p w:rsidR="00445B50" w:rsidRPr="00985EDF" w:rsidRDefault="00445B50" w:rsidP="00D52CA7">
      <w:pPr>
        <w:jc w:val="both"/>
        <w:rPr>
          <w:b/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Приходовни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принцип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признавања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државних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донација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према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МРС</w:t>
      </w:r>
      <w:r w:rsidR="00D52CA7" w:rsidRPr="00985EDF">
        <w:rPr>
          <w:b/>
          <w:color w:val="000000" w:themeColor="text1"/>
          <w:lang w:val="sr-Cyrl-CS"/>
        </w:rPr>
        <w:t xml:space="preserve"> 20 </w:t>
      </w:r>
      <w:r>
        <w:rPr>
          <w:b/>
          <w:color w:val="000000" w:themeColor="text1"/>
          <w:lang w:val="sr-Cyrl-CS"/>
        </w:rPr>
        <w:t>подразумијева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признавање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прихода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од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донација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тренутку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стицања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права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донацију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или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пријема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дониране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ствари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зависности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тога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шта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деси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раније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тренутку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пријема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готовине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уколико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ради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донацији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облику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новца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на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систематској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основи</w:t>
      </w:r>
      <w:r w:rsidR="00D52CA7" w:rsidRPr="0038360E">
        <w:rPr>
          <w:color w:val="000000" w:themeColor="text1"/>
          <w:u w:val="single"/>
          <w:lang w:val="sr-Cyrl-CS"/>
        </w:rPr>
        <w:t xml:space="preserve">, </w:t>
      </w:r>
      <w:r>
        <w:rPr>
          <w:color w:val="000000" w:themeColor="text1"/>
          <w:u w:val="single"/>
          <w:lang w:val="sr-Cyrl-CS"/>
        </w:rPr>
        <w:t>паралелно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настанком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трошкова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који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одражавају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утрошак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дониране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ствари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по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истеку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периода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коме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донирана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новчана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средства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потрошена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цјелости</w:t>
      </w:r>
      <w:r w:rsidR="00D52CA7" w:rsidRPr="0038360E">
        <w:rPr>
          <w:color w:val="000000" w:themeColor="text1"/>
          <w:lang w:val="sr-Cyrl-CS"/>
        </w:rPr>
        <w:t xml:space="preserve"> </w:t>
      </w:r>
    </w:p>
    <w:p w:rsidR="00445B50" w:rsidRPr="00985EDF" w:rsidRDefault="00445B50" w:rsidP="00D52CA7">
      <w:pPr>
        <w:jc w:val="both"/>
        <w:rPr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Према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МРС</w:t>
      </w:r>
      <w:r w:rsidR="00D52CA7" w:rsidRPr="00985EDF">
        <w:rPr>
          <w:b/>
          <w:color w:val="000000" w:themeColor="text1"/>
          <w:lang w:val="sr-Cyrl-CS"/>
        </w:rPr>
        <w:t xml:space="preserve"> 11, </w:t>
      </w:r>
      <w:r>
        <w:rPr>
          <w:b/>
          <w:color w:val="000000" w:themeColor="text1"/>
          <w:lang w:val="sr-Cyrl-CS"/>
        </w:rPr>
        <w:t>уговори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изградњи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могу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појавити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облику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уговора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набавци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роба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услуга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комбинованих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уговора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уговора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градњи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непокретности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уговора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са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фиксном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цијеном</w:t>
      </w:r>
    </w:p>
    <w:p w:rsidR="00D52CA7" w:rsidRPr="00985EDF" w:rsidRDefault="00D52CA7" w:rsidP="00D52CA7">
      <w:pPr>
        <w:jc w:val="both"/>
        <w:rPr>
          <w:i/>
          <w:color w:val="000000" w:themeColor="text1"/>
          <w:lang w:val="sr-Cyrl-CS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Интерно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генерисани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гоод</w:t>
      </w:r>
      <w:r w:rsidR="00D52CA7" w:rsidRPr="00985EDF">
        <w:rPr>
          <w:b/>
          <w:color w:val="000000" w:themeColor="text1"/>
          <w:lang w:val="sr-Cyrl-CS"/>
        </w:rPr>
        <w:t>w</w:t>
      </w:r>
      <w:r>
        <w:rPr>
          <w:b/>
          <w:color w:val="000000" w:themeColor="text1"/>
          <w:lang w:val="sr-Cyrl-CS"/>
        </w:rPr>
        <w:t>илл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се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никад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не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билансира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увијек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билансира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билансира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амортизује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периоду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који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није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дужи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38360E">
        <w:rPr>
          <w:color w:val="000000" w:themeColor="text1"/>
          <w:lang w:val="sr-Cyrl-CS"/>
        </w:rPr>
        <w:t xml:space="preserve"> 10 </w:t>
      </w:r>
      <w:r>
        <w:rPr>
          <w:color w:val="000000" w:themeColor="text1"/>
          <w:lang w:val="sr-Cyrl-CS"/>
        </w:rPr>
        <w:t>година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билансира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амортизује</w:t>
      </w:r>
      <w:r w:rsidR="00D52CA7" w:rsidRPr="0038360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али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се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редовно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тестира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обезврјеђење</w:t>
      </w:r>
    </w:p>
    <w:p w:rsidR="00445B50" w:rsidRPr="00985EDF" w:rsidRDefault="00445B50" w:rsidP="00D52CA7">
      <w:pPr>
        <w:jc w:val="both"/>
        <w:rPr>
          <w:color w:val="000000" w:themeColor="text1"/>
        </w:rPr>
      </w:pPr>
    </w:p>
    <w:p w:rsidR="00D52CA7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складу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са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МРС</w:t>
      </w:r>
      <w:r w:rsidR="00D52CA7" w:rsidRPr="00985EDF">
        <w:rPr>
          <w:b/>
          <w:color w:val="000000" w:themeColor="text1"/>
          <w:lang w:val="sr-Cyrl-CS"/>
        </w:rPr>
        <w:t xml:space="preserve"> 2, </w:t>
      </w:r>
      <w:r>
        <w:rPr>
          <w:b/>
          <w:color w:val="000000" w:themeColor="text1"/>
          <w:lang w:val="sr-Cyrl-CS"/>
        </w:rPr>
        <w:t>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трошкове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конверзије</w:t>
      </w:r>
      <w:r w:rsidR="00D52CA7" w:rsidRPr="00985EDF">
        <w:rPr>
          <w:b/>
          <w:color w:val="000000" w:themeColor="text1"/>
          <w:lang w:val="sr-Cyrl-CS"/>
        </w:rPr>
        <w:t xml:space="preserve">, </w:t>
      </w:r>
      <w:r>
        <w:rPr>
          <w:b/>
          <w:color w:val="000000" w:themeColor="text1"/>
          <w:lang w:val="sr-Cyrl-CS"/>
        </w:rPr>
        <w:t>поред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осталих</w:t>
      </w:r>
      <w:r w:rsidR="00D52CA7" w:rsidRPr="00985EDF">
        <w:rPr>
          <w:b/>
          <w:color w:val="000000" w:themeColor="text1"/>
          <w:lang w:val="sr-Cyrl-CS"/>
        </w:rPr>
        <w:t xml:space="preserve">, </w:t>
      </w:r>
      <w:r>
        <w:rPr>
          <w:b/>
          <w:color w:val="000000" w:themeColor="text1"/>
          <w:lang w:val="sr-Cyrl-CS"/>
        </w:rPr>
        <w:t>укључују</w:t>
      </w:r>
      <w:r w:rsidR="00D52CA7" w:rsidRPr="00985EDF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се</w:t>
      </w:r>
      <w:r w:rsidR="00D52CA7" w:rsidRPr="00985EDF">
        <w:rPr>
          <w:b/>
          <w:color w:val="000000" w:themeColor="text1"/>
          <w:lang w:val="sr-Cyrl-CS"/>
        </w:rPr>
        <w:t>: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трошкови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превоза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готових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производа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складишта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купца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посебни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појединачни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трошкови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производње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сви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општи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трошкови</w:t>
      </w:r>
      <w:r w:rsidR="00D52CA7" w:rsidRPr="0038360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производње</w:t>
      </w:r>
    </w:p>
    <w:p w:rsidR="00D52CA7" w:rsidRPr="0038360E" w:rsidRDefault="007D77B0" w:rsidP="0038360E">
      <w:pPr>
        <w:pStyle w:val="ListParagraph"/>
        <w:numPr>
          <w:ilvl w:val="1"/>
          <w:numId w:val="29"/>
        </w:numPr>
        <w:jc w:val="both"/>
        <w:rPr>
          <w:color w:val="000000" w:themeColor="text1"/>
          <w:u w:val="single"/>
          <w:lang w:val="sr-Cyrl-CS"/>
        </w:rPr>
      </w:pPr>
      <w:r>
        <w:rPr>
          <w:color w:val="000000" w:themeColor="text1"/>
          <w:u w:val="single"/>
          <w:lang w:val="sr-Cyrl-CS"/>
        </w:rPr>
        <w:t>трошкови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помоћног</w:t>
      </w:r>
      <w:r w:rsidR="00D52CA7" w:rsidRPr="0038360E">
        <w:rPr>
          <w:color w:val="000000" w:themeColor="text1"/>
          <w:u w:val="single"/>
          <w:lang w:val="sr-Cyrl-CS"/>
        </w:rPr>
        <w:t xml:space="preserve"> </w:t>
      </w:r>
      <w:r>
        <w:rPr>
          <w:color w:val="000000" w:themeColor="text1"/>
          <w:u w:val="single"/>
          <w:lang w:val="sr-Cyrl-CS"/>
        </w:rPr>
        <w:t>материјала</w:t>
      </w:r>
    </w:p>
    <w:p w:rsidR="00DC0C18" w:rsidRPr="00985EDF" w:rsidRDefault="00DC0C18" w:rsidP="00862438">
      <w:pPr>
        <w:jc w:val="both"/>
        <w:rPr>
          <w:b/>
          <w:color w:val="000000" w:themeColor="text1"/>
        </w:rPr>
      </w:pPr>
    </w:p>
    <w:p w:rsidR="000108B5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Што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чини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информацију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релевантном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према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Оквиру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састављање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презентирање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финанцијских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извјештаја</w:t>
      </w:r>
      <w:r w:rsidR="000108B5" w:rsidRPr="00985EDF">
        <w:rPr>
          <w:b/>
          <w:color w:val="000000" w:themeColor="text1"/>
        </w:rPr>
        <w:t>: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неутралност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опрезност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вриједност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предвиђања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потврђивања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све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горе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наведени</w:t>
      </w:r>
    </w:p>
    <w:p w:rsidR="000108B5" w:rsidRPr="00985EDF" w:rsidRDefault="000108B5" w:rsidP="000108B5">
      <w:pPr>
        <w:ind w:left="720"/>
        <w:jc w:val="both"/>
        <w:rPr>
          <w:color w:val="000000" w:themeColor="text1"/>
        </w:rPr>
      </w:pPr>
    </w:p>
    <w:p w:rsidR="000108B5" w:rsidRPr="00985EDF" w:rsidRDefault="007D77B0" w:rsidP="0038360E">
      <w:pPr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Основице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мјерење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елемената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финанцијских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извјештаја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према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Оквиру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састављање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презентирање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финанцијских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извјештаја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могу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бити</w:t>
      </w:r>
      <w:r w:rsidR="000108B5" w:rsidRPr="00985EDF">
        <w:rPr>
          <w:b/>
          <w:color w:val="000000" w:themeColor="text1"/>
        </w:rPr>
        <w:t>: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повијесни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трошак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текући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трошак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продајна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вриједност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садашња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вриједност</w:t>
      </w:r>
    </w:p>
    <w:p w:rsidR="000108B5" w:rsidRPr="00985EDF" w:rsidRDefault="007D77B0" w:rsidP="0038360E">
      <w:pPr>
        <w:numPr>
          <w:ilvl w:val="1"/>
          <w:numId w:val="29"/>
        </w:numP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све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горе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наведено</w:t>
      </w:r>
    </w:p>
    <w:p w:rsidR="000108B5" w:rsidRDefault="000108B5" w:rsidP="000108B5">
      <w:pPr>
        <w:ind w:left="720"/>
        <w:jc w:val="both"/>
        <w:rPr>
          <w:color w:val="000000" w:themeColor="text1"/>
          <w:u w:val="single"/>
        </w:rPr>
      </w:pPr>
    </w:p>
    <w:p w:rsidR="0038360E" w:rsidRDefault="0038360E" w:rsidP="000108B5">
      <w:pPr>
        <w:ind w:left="720"/>
        <w:jc w:val="both"/>
        <w:rPr>
          <w:color w:val="000000" w:themeColor="text1"/>
          <w:u w:val="single"/>
        </w:rPr>
      </w:pPr>
    </w:p>
    <w:p w:rsidR="0038360E" w:rsidRPr="00985EDF" w:rsidRDefault="0038360E" w:rsidP="000108B5">
      <w:pPr>
        <w:ind w:left="720"/>
        <w:jc w:val="both"/>
        <w:rPr>
          <w:color w:val="000000" w:themeColor="text1"/>
          <w:u w:val="single"/>
        </w:rPr>
      </w:pPr>
    </w:p>
    <w:p w:rsidR="000108B5" w:rsidRPr="00985EDF" w:rsidRDefault="007D77B0" w:rsidP="0038360E">
      <w:pPr>
        <w:pStyle w:val="pododlomak"/>
        <w:numPr>
          <w:ilvl w:val="0"/>
          <w:numId w:val="29"/>
        </w:numPr>
        <w:tabs>
          <w:tab w:val="clear" w:pos="907"/>
          <w:tab w:val="left" w:pos="360"/>
        </w:tabs>
        <w:spacing w:after="0" w:line="240" w:lineRule="auto"/>
        <w:rPr>
          <w:rFonts w:ascii="Times New Roman"/>
          <w:b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lastRenderedPageBreak/>
        <w:t>Примјери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новчаних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токова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пословних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активности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су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: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20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es-MX"/>
        </w:rPr>
      </w:pP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новчани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примици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од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тантијема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,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накнада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,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провизија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и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других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u w:val="single"/>
          <w:lang w:val="hr-HR"/>
        </w:rPr>
        <w:t>прихода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20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es-MX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новчани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примици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продаје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некретнина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20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es-MX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новчане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исплате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корисника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лизинга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име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смањења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неизмирене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обвезе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која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односи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финанцијски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лизинг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20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es-MX"/>
        </w:rPr>
      </w:pP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новчане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исплате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или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поврати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пореза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добит</w:t>
      </w:r>
    </w:p>
    <w:p w:rsidR="000108B5" w:rsidRPr="00985EDF" w:rsidRDefault="000108B5" w:rsidP="000108B5">
      <w:pPr>
        <w:ind w:left="714"/>
        <w:jc w:val="both"/>
        <w:rPr>
          <w:color w:val="000000" w:themeColor="text1"/>
          <w:u w:val="single"/>
        </w:rPr>
      </w:pPr>
    </w:p>
    <w:p w:rsidR="000108B5" w:rsidRPr="00985EDF" w:rsidRDefault="007D77B0" w:rsidP="0038360E">
      <w:pPr>
        <w:pStyle w:val="pododlomak"/>
        <w:numPr>
          <w:ilvl w:val="0"/>
          <w:numId w:val="29"/>
        </w:numPr>
        <w:tabs>
          <w:tab w:val="left" w:pos="360"/>
        </w:tabs>
        <w:spacing w:after="0" w:line="240" w:lineRule="auto"/>
        <w:rPr>
          <w:rFonts w:asci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Примјери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новчаних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токова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финанцијских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активности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су</w:t>
      </w:r>
      <w:r w:rsidR="000108B5" w:rsidRPr="00985EDF">
        <w:rPr>
          <w:rFonts w:ascii="Times New Roman"/>
          <w:b/>
          <w:bCs/>
          <w:color w:val="000000" w:themeColor="text1"/>
          <w:sz w:val="24"/>
          <w:szCs w:val="24"/>
          <w:lang w:val="hr-HR"/>
        </w:rPr>
        <w:t>: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left" w:pos="720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новчани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примици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продаје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инструмената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дионичког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капитала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и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дужничких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инструмената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других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правних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color w:val="000000" w:themeColor="text1"/>
          <w:sz w:val="24"/>
          <w:szCs w:val="24"/>
          <w:lang w:val="hr-HR"/>
        </w:rPr>
        <w:t>особа</w:t>
      </w:r>
      <w:r w:rsidR="000108B5" w:rsidRPr="00985EDF">
        <w:rPr>
          <w:rFonts w:ascii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>(</w:t>
      </w:r>
      <w:r>
        <w:rPr>
          <w:rFonts w:ascii="Times New Roman"/>
          <w:color w:val="000000" w:themeColor="text1"/>
          <w:sz w:val="24"/>
          <w:szCs w:val="24"/>
          <w:lang w:val="hr-HR"/>
        </w:rPr>
        <w:t>осим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примитака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темељем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инструмената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који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сматрају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новчаним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еквивалентима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или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држе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за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пословне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или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трговачке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сврхе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>)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20"/>
          <w:tab w:val="left" w:pos="993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новчани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примици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новчане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исплате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осигуравајућег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субјекта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за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премије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одштетне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захтјеве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color w:val="000000" w:themeColor="text1"/>
          <w:sz w:val="24"/>
          <w:szCs w:val="24"/>
          <w:lang w:val="hr-HR"/>
        </w:rPr>
        <w:t>ануитете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друге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користи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полице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осигурања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left" w:pos="720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новчане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исплате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власницима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за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стјецање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или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искуп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дионица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субјекта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20"/>
          <w:tab w:val="left" w:pos="993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новчане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отплате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најмопримца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(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корисника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лизинга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)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за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смањење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неподмирене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обвезе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која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се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односи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на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финанцијски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најам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(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лизинг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>)</w:t>
      </w:r>
    </w:p>
    <w:p w:rsidR="000108B5" w:rsidRPr="00985EDF" w:rsidRDefault="000108B5" w:rsidP="000108B5">
      <w:pPr>
        <w:pStyle w:val="pododlomak"/>
        <w:tabs>
          <w:tab w:val="clear" w:pos="907"/>
          <w:tab w:val="left" w:pos="720"/>
          <w:tab w:val="left" w:pos="993"/>
        </w:tabs>
        <w:spacing w:after="0" w:line="240" w:lineRule="auto"/>
        <w:ind w:left="714" w:firstLine="0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</w:p>
    <w:p w:rsidR="000108B5" w:rsidRPr="00985EDF" w:rsidRDefault="007D77B0" w:rsidP="0038360E">
      <w:pPr>
        <w:pStyle w:val="pododlomak"/>
        <w:numPr>
          <w:ilvl w:val="0"/>
          <w:numId w:val="29"/>
        </w:numPr>
        <w:tabs>
          <w:tab w:val="left" w:pos="360"/>
        </w:tabs>
        <w:spacing w:after="0" w:line="240" w:lineRule="auto"/>
        <w:rPr>
          <w:rFonts w:asci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/>
          <w:b/>
          <w:color w:val="000000" w:themeColor="text1"/>
          <w:sz w:val="24"/>
          <w:szCs w:val="24"/>
          <w:lang w:val="hr-HR"/>
        </w:rPr>
        <w:t>Одгођена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порезна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средства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су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износи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пореза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на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добит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надокнадиви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у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будућим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раздобљима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односе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се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  <w:lang w:val="hr-HR"/>
        </w:rPr>
        <w:t>на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  <w:lang w:val="hr-HR"/>
        </w:rPr>
        <w:t>: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одбитне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привремене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разлике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неискориштене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порезне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губитке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пренијете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унапријед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пренијете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унапријед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неискориштене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порезне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кредите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(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олакшице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) 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све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горе</w:t>
      </w:r>
      <w:r w:rsidR="000108B5" w:rsidRPr="00985EDF">
        <w:rPr>
          <w:rFonts w:asci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u w:val="single"/>
          <w:lang w:val="hr-HR"/>
        </w:rPr>
        <w:t>наведено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color w:val="000000" w:themeColor="text1"/>
          <w:sz w:val="24"/>
          <w:szCs w:val="24"/>
          <w:lang w:val="hr-HR"/>
        </w:rPr>
        <w:t>ништа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горе</w:t>
      </w:r>
      <w:r w:rsidR="000108B5" w:rsidRPr="00985EDF">
        <w:rPr>
          <w:rFonts w:asci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color w:val="000000" w:themeColor="text1"/>
          <w:sz w:val="24"/>
          <w:szCs w:val="24"/>
          <w:lang w:val="hr-HR"/>
        </w:rPr>
        <w:t>наведеног</w:t>
      </w:r>
    </w:p>
    <w:p w:rsidR="000108B5" w:rsidRPr="00985EDF" w:rsidRDefault="000108B5" w:rsidP="000108B5">
      <w:pPr>
        <w:pStyle w:val="pododlomak"/>
        <w:spacing w:after="0" w:line="240" w:lineRule="auto"/>
        <w:ind w:left="714" w:firstLine="0"/>
        <w:rPr>
          <w:rFonts w:ascii="Times New Roman"/>
          <w:color w:val="000000" w:themeColor="text1"/>
          <w:sz w:val="24"/>
          <w:szCs w:val="24"/>
          <w:lang w:val="hr-HR"/>
        </w:rPr>
      </w:pPr>
    </w:p>
    <w:p w:rsidR="000108B5" w:rsidRPr="00985EDF" w:rsidRDefault="007D77B0" w:rsidP="0038360E">
      <w:pPr>
        <w:pStyle w:val="pododlomak"/>
        <w:numPr>
          <w:ilvl w:val="0"/>
          <w:numId w:val="29"/>
        </w:numPr>
        <w:tabs>
          <w:tab w:val="clear" w:pos="907"/>
          <w:tab w:val="left" w:pos="360"/>
          <w:tab w:val="left" w:pos="709"/>
        </w:tabs>
        <w:spacing w:after="0" w:line="240" w:lineRule="auto"/>
        <w:rPr>
          <w:rFonts w:asci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>Потенцијална</w:t>
      </w:r>
      <w:r w:rsidR="000108B5" w:rsidRPr="00985EDF"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 xml:space="preserve"> (</w:t>
      </w:r>
      <w:r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>непредвиђена</w:t>
      </w:r>
      <w:r w:rsidR="000108B5" w:rsidRPr="00985EDF"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 xml:space="preserve">) </w:t>
      </w:r>
      <w:r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>обвеза</w:t>
      </w:r>
      <w:r w:rsidR="000108B5" w:rsidRPr="00985EDF"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>је</w:t>
      </w:r>
      <w:r w:rsidR="000108B5" w:rsidRPr="00985EDF">
        <w:rPr>
          <w:rFonts w:ascii="Times New Roman"/>
          <w:b/>
          <w:bCs/>
          <w:iCs/>
          <w:color w:val="000000" w:themeColor="text1"/>
          <w:sz w:val="24"/>
          <w:szCs w:val="24"/>
          <w:lang w:val="hr-HR"/>
        </w:rPr>
        <w:t>: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могућа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обвеза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која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произлази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из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прошлих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догађаја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чије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ће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се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постојање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потврдити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само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настанком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или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изостанком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једног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или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више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неизвјесних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будућих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дога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softHyphen/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ђаја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које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субјект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може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у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цијелости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утјецати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садашња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обвеза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која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произлази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из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прошлих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догађаја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,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али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није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призната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будући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да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није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вјеројатно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да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ће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подмирење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обвезе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захтијевати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одљев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ресурса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који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утјелов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softHyphen/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љују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економске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користи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или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износ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обвезе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није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могуће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измјерити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с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довољно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u w:val="single"/>
          <w:lang w:val="hr-HR"/>
        </w:rPr>
        <w:t>поузданости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обвеза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која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произлази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из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неких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активности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субјекта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при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чему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је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субјект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назначио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темељем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прошле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праксе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објављених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политика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или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довољно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одређеном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садашњом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изјавом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другим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странама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да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ће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преузети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одређене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одговорности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обвеза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која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произлази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из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неких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активности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субјекта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услијед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чега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су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створена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код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тих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других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страна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оправдана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очекивања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да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ће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те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одговорности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испунити</w:t>
      </w:r>
    </w:p>
    <w:p w:rsidR="000108B5" w:rsidRPr="00985EDF" w:rsidRDefault="007D77B0" w:rsidP="0038360E">
      <w:pPr>
        <w:pStyle w:val="pododlomak"/>
        <w:numPr>
          <w:ilvl w:val="1"/>
          <w:numId w:val="29"/>
        </w:numPr>
        <w:tabs>
          <w:tab w:val="clear" w:pos="907"/>
          <w:tab w:val="left" w:pos="709"/>
        </w:tabs>
        <w:spacing w:after="0" w:line="240" w:lineRule="auto"/>
        <w:rPr>
          <w:rFonts w:ascii="Times New Roman"/>
          <w:color w:val="000000" w:themeColor="text1"/>
          <w:sz w:val="24"/>
          <w:szCs w:val="24"/>
          <w:lang w:val="hr-HR"/>
        </w:rPr>
      </w:pP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ништа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од</w:t>
      </w:r>
      <w:r w:rsidR="000108B5" w:rsidRPr="00985EDF"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/>
          <w:bCs/>
          <w:iCs/>
          <w:color w:val="000000" w:themeColor="text1"/>
          <w:sz w:val="24"/>
          <w:szCs w:val="24"/>
          <w:lang w:val="hr-HR"/>
        </w:rPr>
        <w:t>наведеног</w:t>
      </w:r>
    </w:p>
    <w:p w:rsidR="000108B5" w:rsidRPr="00985EDF" w:rsidRDefault="000108B5" w:rsidP="000108B5">
      <w:pPr>
        <w:pStyle w:val="pododlomak"/>
        <w:spacing w:after="0" w:line="240" w:lineRule="auto"/>
        <w:ind w:left="720" w:firstLine="0"/>
        <w:rPr>
          <w:rFonts w:ascii="Times New Roman"/>
          <w:color w:val="000000" w:themeColor="text1"/>
          <w:sz w:val="24"/>
          <w:szCs w:val="24"/>
          <w:lang w:val="hr-HR"/>
        </w:rPr>
      </w:pPr>
    </w:p>
    <w:p w:rsidR="000108B5" w:rsidRPr="00985EDF" w:rsidRDefault="007D77B0" w:rsidP="0038360E">
      <w:pPr>
        <w:pStyle w:val="pododlomak"/>
        <w:numPr>
          <w:ilvl w:val="0"/>
          <w:numId w:val="29"/>
        </w:numPr>
        <w:tabs>
          <w:tab w:val="clear" w:pos="907"/>
          <w:tab w:val="left" w:pos="426"/>
        </w:tabs>
        <w:spacing w:after="0" w:line="240" w:lineRule="auto"/>
        <w:rPr>
          <w:rFonts w:asci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/>
          <w:b/>
          <w:color w:val="000000" w:themeColor="text1"/>
          <w:sz w:val="24"/>
          <w:szCs w:val="24"/>
        </w:rPr>
        <w:t>Кад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</w:rPr>
        <w:t>се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</w:rPr>
        <w:t>примјењује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</w:rPr>
        <w:t>пропорционални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</w:rPr>
        <w:t>обрачун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</w:rPr>
        <w:t>амортизације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/>
          <w:b/>
          <w:color w:val="000000" w:themeColor="text1"/>
          <w:sz w:val="24"/>
          <w:szCs w:val="24"/>
        </w:rPr>
        <w:t>амортизација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b/>
          <w:color w:val="000000" w:themeColor="text1"/>
          <w:sz w:val="24"/>
          <w:szCs w:val="24"/>
        </w:rPr>
        <w:t>представља</w:t>
      </w:r>
      <w:r w:rsidR="000108B5" w:rsidRPr="00985EDF">
        <w:rPr>
          <w:rFonts w:ascii="Times New Roman"/>
          <w:b/>
          <w:color w:val="000000" w:themeColor="text1"/>
          <w:sz w:val="24"/>
          <w:szCs w:val="24"/>
        </w:rPr>
        <w:t>: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фиксни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трошак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на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годишњој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разини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фиксни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трошак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јединици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производа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варијабилни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трошак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јединици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производа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фиксни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трошак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јединици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производа</w:t>
      </w:r>
      <w:r w:rsidR="000108B5" w:rsidRPr="00985EDF">
        <w:rPr>
          <w:color w:val="000000" w:themeColor="text1"/>
        </w:rPr>
        <w:t xml:space="preserve"> </w:t>
      </w:r>
    </w:p>
    <w:p w:rsidR="000108B5" w:rsidRDefault="000108B5" w:rsidP="000108B5">
      <w:pPr>
        <w:jc w:val="both"/>
        <w:rPr>
          <w:color w:val="000000" w:themeColor="text1"/>
        </w:rPr>
      </w:pPr>
    </w:p>
    <w:p w:rsidR="0038360E" w:rsidRDefault="0038360E" w:rsidP="000108B5">
      <w:pPr>
        <w:jc w:val="both"/>
        <w:rPr>
          <w:color w:val="000000" w:themeColor="text1"/>
        </w:rPr>
      </w:pPr>
    </w:p>
    <w:p w:rsidR="0038360E" w:rsidRDefault="0038360E" w:rsidP="000108B5">
      <w:pPr>
        <w:jc w:val="both"/>
        <w:rPr>
          <w:color w:val="000000" w:themeColor="text1"/>
        </w:rPr>
      </w:pPr>
    </w:p>
    <w:p w:rsidR="0038360E" w:rsidRDefault="0038360E" w:rsidP="000108B5">
      <w:pPr>
        <w:jc w:val="both"/>
        <w:rPr>
          <w:color w:val="000000" w:themeColor="text1"/>
        </w:rPr>
      </w:pPr>
    </w:p>
    <w:p w:rsidR="0038360E" w:rsidRDefault="0038360E" w:rsidP="000108B5">
      <w:pPr>
        <w:jc w:val="both"/>
        <w:rPr>
          <w:color w:val="000000" w:themeColor="text1"/>
        </w:rPr>
      </w:pPr>
    </w:p>
    <w:p w:rsidR="0038360E" w:rsidRPr="00985EDF" w:rsidRDefault="0038360E" w:rsidP="000108B5">
      <w:pPr>
        <w:jc w:val="both"/>
        <w:rPr>
          <w:color w:val="000000" w:themeColor="text1"/>
        </w:rPr>
      </w:pPr>
    </w:p>
    <w:p w:rsidR="000108B5" w:rsidRPr="00985EDF" w:rsidRDefault="007D77B0" w:rsidP="0038360E">
      <w:pPr>
        <w:numPr>
          <w:ilvl w:val="0"/>
          <w:numId w:val="29"/>
        </w:numPr>
        <w:rPr>
          <w:b/>
          <w:color w:val="000000" w:themeColor="text1"/>
        </w:rPr>
      </w:pPr>
      <w:r>
        <w:rPr>
          <w:b/>
          <w:color w:val="000000" w:themeColor="text1"/>
        </w:rPr>
        <w:t>Који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критерији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требају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бити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испуњени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би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неко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средство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било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класифицирано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као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стално</w:t>
      </w:r>
      <w:r w:rsidR="000108B5" w:rsidRPr="00985EDF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нетекуће</w:t>
      </w:r>
      <w:r w:rsidR="000108B5" w:rsidRPr="00985EDF">
        <w:rPr>
          <w:b/>
          <w:color w:val="000000" w:themeColor="text1"/>
        </w:rPr>
        <w:t xml:space="preserve">) </w:t>
      </w:r>
      <w:r>
        <w:rPr>
          <w:b/>
          <w:color w:val="000000" w:themeColor="text1"/>
        </w:rPr>
        <w:t>средство</w:t>
      </w:r>
      <w:r w:rsidR="000108B5" w:rsidRPr="00985EDF">
        <w:rPr>
          <w:b/>
          <w:color w:val="000000" w:themeColor="text1"/>
        </w:rPr>
        <w:t>: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очекује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ће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реализирати</w:t>
      </w:r>
      <w:r w:rsidR="000108B5" w:rsidRPr="00985EDF">
        <w:rPr>
          <w:color w:val="000000" w:themeColor="text1"/>
        </w:rPr>
        <w:t xml:space="preserve">, </w:t>
      </w:r>
      <w:r>
        <w:rPr>
          <w:color w:val="000000" w:themeColor="text1"/>
        </w:rPr>
        <w:t>или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држи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ради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продаје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потрошње</w:t>
      </w:r>
      <w:r w:rsidR="000108B5" w:rsidRPr="00985EDF">
        <w:rPr>
          <w:color w:val="000000" w:themeColor="text1"/>
        </w:rPr>
        <w:t xml:space="preserve">, </w:t>
      </w:r>
      <w:r>
        <w:rPr>
          <w:color w:val="000000" w:themeColor="text1"/>
        </w:rPr>
        <w:t>тијеком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нормалног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пословног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циклуса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правне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особе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држи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првенствено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циљу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трговања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очекује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ће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реализирати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оквиру</w:t>
      </w:r>
      <w:r w:rsidR="000108B5" w:rsidRPr="00985EDF">
        <w:rPr>
          <w:color w:val="000000" w:themeColor="text1"/>
        </w:rPr>
        <w:t xml:space="preserve"> 12 </w:t>
      </w:r>
      <w:r>
        <w:rPr>
          <w:color w:val="000000" w:themeColor="text1"/>
        </w:rPr>
        <w:t>мјесеци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након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датума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биланса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ако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ради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новцу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новчаном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еквиваленту</w:t>
      </w:r>
      <w:r w:rsidR="000108B5" w:rsidRPr="00985EDF">
        <w:rPr>
          <w:color w:val="000000" w:themeColor="text1"/>
        </w:rPr>
        <w:t xml:space="preserve"> (</w:t>
      </w:r>
      <w:r>
        <w:rPr>
          <w:color w:val="000000" w:themeColor="text1"/>
        </w:rPr>
        <w:t>дефинираном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МСФИ</w:t>
      </w:r>
      <w:r w:rsidR="000108B5" w:rsidRPr="00985EDF">
        <w:rPr>
          <w:color w:val="000000" w:themeColor="text1"/>
        </w:rPr>
        <w:t xml:space="preserve"> 7) </w:t>
      </w:r>
      <w:r>
        <w:rPr>
          <w:color w:val="000000" w:themeColor="text1"/>
        </w:rPr>
        <w:t>осим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ако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је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ограничена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његова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размјена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кориштење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за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подмирење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обвезе</w:t>
      </w:r>
      <w:r w:rsidR="000108B5" w:rsidRPr="00985EDF">
        <w:rPr>
          <w:color w:val="000000" w:themeColor="text1"/>
        </w:rPr>
        <w:t xml:space="preserve">, </w:t>
      </w:r>
      <w:r>
        <w:rPr>
          <w:color w:val="000000" w:themeColor="text1"/>
        </w:rPr>
        <w:t>за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најмање</w:t>
      </w:r>
      <w:r w:rsidR="000108B5" w:rsidRPr="00985EDF">
        <w:rPr>
          <w:color w:val="000000" w:themeColor="text1"/>
        </w:rPr>
        <w:t xml:space="preserve"> 12 </w:t>
      </w:r>
      <w:r>
        <w:rPr>
          <w:color w:val="000000" w:themeColor="text1"/>
        </w:rPr>
        <w:t>мјесеци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након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датума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биланса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</w:rPr>
      </w:pPr>
      <w:r>
        <w:rPr>
          <w:color w:val="000000" w:themeColor="text1"/>
        </w:rPr>
        <w:t>само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ако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испуњени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сви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критерији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горе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наведени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под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="000108B5" w:rsidRPr="00985EDF">
        <w:rPr>
          <w:color w:val="000000" w:themeColor="text1"/>
        </w:rPr>
        <w:t xml:space="preserve">) </w:t>
      </w:r>
      <w:r>
        <w:rPr>
          <w:color w:val="000000" w:themeColor="text1"/>
        </w:rPr>
        <w:t>до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</w:t>
      </w:r>
      <w:r w:rsidR="000108B5" w:rsidRPr="00985EDF">
        <w:rPr>
          <w:color w:val="000000" w:themeColor="text1"/>
        </w:rPr>
        <w:t>)</w:t>
      </w:r>
    </w:p>
    <w:p w:rsidR="000108B5" w:rsidRPr="00985EDF" w:rsidRDefault="007D77B0" w:rsidP="0038360E">
      <w:pPr>
        <w:numPr>
          <w:ilvl w:val="1"/>
          <w:numId w:val="29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ако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је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испуњен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било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који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од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критерија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горе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</w:rPr>
        <w:t>наведених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под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="000108B5" w:rsidRPr="00985EDF">
        <w:rPr>
          <w:color w:val="000000" w:themeColor="text1"/>
        </w:rPr>
        <w:t xml:space="preserve">) </w:t>
      </w:r>
      <w:r>
        <w:rPr>
          <w:color w:val="000000" w:themeColor="text1"/>
        </w:rPr>
        <w:t>до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</w:t>
      </w:r>
      <w:r w:rsidR="000108B5" w:rsidRPr="00985EDF">
        <w:rPr>
          <w:color w:val="000000" w:themeColor="text1"/>
        </w:rPr>
        <w:t>)</w:t>
      </w:r>
    </w:p>
    <w:p w:rsidR="000108B5" w:rsidRPr="00985EDF" w:rsidRDefault="000108B5" w:rsidP="000108B5">
      <w:pPr>
        <w:rPr>
          <w:color w:val="000000" w:themeColor="text1"/>
        </w:rPr>
      </w:pPr>
    </w:p>
    <w:p w:rsidR="000108B5" w:rsidRPr="00985EDF" w:rsidRDefault="007D77B0" w:rsidP="0038360E">
      <w:pPr>
        <w:numPr>
          <w:ilvl w:val="0"/>
          <w:numId w:val="29"/>
        </w:numPr>
        <w:rPr>
          <w:b/>
          <w:color w:val="000000" w:themeColor="text1"/>
        </w:rPr>
      </w:pPr>
      <w:r>
        <w:rPr>
          <w:b/>
          <w:color w:val="000000" w:themeColor="text1"/>
        </w:rPr>
        <w:t>Заокружите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точне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тврдње</w:t>
      </w:r>
      <w:r w:rsidR="000108B5" w:rsidRPr="00985EDF">
        <w:rPr>
          <w:b/>
          <w:color w:val="000000" w:themeColor="text1"/>
        </w:rPr>
        <w:t>: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увјетима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раста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цијена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залиха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примјеном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ФИФО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методе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подузеће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ће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исказати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мању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нето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добит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него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што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би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било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примјеном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методе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просјечних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цијена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у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увјетима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раста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цијена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залиха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примјеном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ФИФО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методе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подузеће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ће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исказати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већу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нето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добит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него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што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би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било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примјеном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методе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просјечних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цијена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увјетима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пада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цијена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залиха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примјеном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ФИФО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методе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подузеће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ће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исказати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већу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нето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добит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него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што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би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било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примјеном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методе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ЛИФО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просјечних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цијена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у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увјетима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пада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цијена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залиха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примјеном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ФИФО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методе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подузеће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ће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исказати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мању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нето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добит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него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што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би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било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примјеном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методе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просјечних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цијена</w:t>
      </w:r>
    </w:p>
    <w:p w:rsidR="000108B5" w:rsidRPr="00985EDF" w:rsidRDefault="000108B5" w:rsidP="000108B5">
      <w:pPr>
        <w:rPr>
          <w:color w:val="000000" w:themeColor="text1"/>
        </w:rPr>
      </w:pPr>
    </w:p>
    <w:p w:rsidR="000108B5" w:rsidRPr="00985EDF" w:rsidRDefault="007D77B0" w:rsidP="0038360E">
      <w:pPr>
        <w:numPr>
          <w:ilvl w:val="0"/>
          <w:numId w:val="29"/>
        </w:numPr>
        <w:rPr>
          <w:b/>
          <w:color w:val="000000" w:themeColor="text1"/>
        </w:rPr>
      </w:pPr>
      <w:r>
        <w:rPr>
          <w:b/>
          <w:color w:val="000000" w:themeColor="text1"/>
        </w:rPr>
        <w:t>Коефицијент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обрта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потраживања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израчунава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као</w:t>
      </w:r>
      <w:r w:rsidR="000108B5" w:rsidRPr="00985EDF">
        <w:rPr>
          <w:b/>
          <w:color w:val="000000" w:themeColor="text1"/>
        </w:rPr>
        <w:t>: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нето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продаја</w:t>
      </w:r>
      <w:r w:rsidR="000108B5" w:rsidRPr="00985EDF">
        <w:rPr>
          <w:color w:val="000000" w:themeColor="text1"/>
          <w:u w:val="single"/>
        </w:rPr>
        <w:t xml:space="preserve"> / </w:t>
      </w:r>
      <w:r>
        <w:rPr>
          <w:color w:val="000000" w:themeColor="text1"/>
          <w:u w:val="single"/>
        </w:rPr>
        <w:t>просјечна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потраживања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од</w:t>
      </w:r>
      <w:r w:rsidR="000108B5" w:rsidRPr="00985ED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купаца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просјечна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потраживања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од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купаца</w:t>
      </w:r>
      <w:r w:rsidR="000108B5" w:rsidRPr="00985EDF">
        <w:rPr>
          <w:color w:val="000000" w:themeColor="text1"/>
        </w:rPr>
        <w:t xml:space="preserve"> / </w:t>
      </w:r>
      <w:r>
        <w:rPr>
          <w:color w:val="000000" w:themeColor="text1"/>
        </w:rPr>
        <w:t>нето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продаја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720"/>
        </w:tabs>
        <w:rPr>
          <w:color w:val="000000" w:themeColor="text1"/>
        </w:rPr>
      </w:pPr>
      <w:r>
        <w:rPr>
          <w:color w:val="000000" w:themeColor="text1"/>
        </w:rPr>
        <w:t>нето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продаја</w:t>
      </w:r>
      <w:r w:rsidR="000108B5" w:rsidRPr="00985EDF">
        <w:rPr>
          <w:color w:val="000000" w:themeColor="text1"/>
        </w:rPr>
        <w:t xml:space="preserve"> – </w:t>
      </w:r>
      <w:r>
        <w:rPr>
          <w:color w:val="000000" w:themeColor="text1"/>
        </w:rPr>
        <w:t>просјечна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потраживања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од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купаца</w:t>
      </w:r>
    </w:p>
    <w:p w:rsidR="000108B5" w:rsidRPr="00985EDF" w:rsidRDefault="007D77B0" w:rsidP="0038360E">
      <w:pPr>
        <w:numPr>
          <w:ilvl w:val="1"/>
          <w:numId w:val="29"/>
        </w:numPr>
        <w:tabs>
          <w:tab w:val="num" w:pos="1440"/>
        </w:tabs>
        <w:rPr>
          <w:color w:val="000000" w:themeColor="text1"/>
        </w:rPr>
      </w:pPr>
      <w:r>
        <w:rPr>
          <w:color w:val="000000" w:themeColor="text1"/>
        </w:rPr>
        <w:t>просјечна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потраживања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од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купаца</w:t>
      </w:r>
      <w:r w:rsidR="000108B5" w:rsidRPr="00985EDF">
        <w:rPr>
          <w:color w:val="000000" w:themeColor="text1"/>
        </w:rPr>
        <w:t xml:space="preserve"> – </w:t>
      </w:r>
      <w:r>
        <w:rPr>
          <w:color w:val="000000" w:themeColor="text1"/>
        </w:rPr>
        <w:t>нето</w:t>
      </w:r>
      <w:r w:rsidR="000108B5" w:rsidRPr="00985EDF">
        <w:rPr>
          <w:color w:val="000000" w:themeColor="text1"/>
        </w:rPr>
        <w:t xml:space="preserve"> </w:t>
      </w:r>
      <w:r>
        <w:rPr>
          <w:color w:val="000000" w:themeColor="text1"/>
        </w:rPr>
        <w:t>продаја</w:t>
      </w:r>
    </w:p>
    <w:p w:rsidR="000108B5" w:rsidRPr="00985EDF" w:rsidRDefault="000108B5" w:rsidP="000108B5">
      <w:pPr>
        <w:ind w:left="714"/>
        <w:rPr>
          <w:color w:val="000000" w:themeColor="text1"/>
        </w:rPr>
      </w:pPr>
    </w:p>
    <w:p w:rsidR="00D52CA7" w:rsidRDefault="00D52CA7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38360E" w:rsidRDefault="0038360E" w:rsidP="00CF5D5A">
      <w:pPr>
        <w:jc w:val="both"/>
        <w:rPr>
          <w:b/>
          <w:color w:val="000000" w:themeColor="text1"/>
        </w:rPr>
      </w:pPr>
    </w:p>
    <w:p w:rsidR="0064701C" w:rsidRPr="00985EDF" w:rsidRDefault="007D77B0" w:rsidP="00CF5D5A">
      <w:pPr>
        <w:jc w:val="both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bs-Latn-BA"/>
        </w:rPr>
        <w:lastRenderedPageBreak/>
        <w:t>ИИ</w:t>
      </w:r>
      <w:r w:rsidR="000108B5" w:rsidRPr="00985EDF">
        <w:rPr>
          <w:b/>
          <w:color w:val="000000" w:themeColor="text1"/>
          <w:lang w:val="bs-Latn-BA"/>
        </w:rPr>
        <w:t xml:space="preserve"> - </w:t>
      </w:r>
      <w:r>
        <w:rPr>
          <w:b/>
          <w:color w:val="000000" w:themeColor="text1"/>
          <w:lang w:val="sr-Cyrl-CS"/>
        </w:rPr>
        <w:t>ЗАДА</w:t>
      </w:r>
      <w:r>
        <w:rPr>
          <w:b/>
          <w:color w:val="000000" w:themeColor="text1"/>
          <w:lang w:val="ru-RU"/>
        </w:rPr>
        <w:t>ЦИ</w:t>
      </w:r>
    </w:p>
    <w:p w:rsidR="0064701C" w:rsidRPr="00985EDF" w:rsidRDefault="0064701C" w:rsidP="00CF5D5A">
      <w:pPr>
        <w:jc w:val="both"/>
        <w:rPr>
          <w:b/>
          <w:color w:val="000000" w:themeColor="text1"/>
          <w:lang w:val="ru-RU"/>
        </w:rPr>
      </w:pPr>
    </w:p>
    <w:p w:rsidR="0064701C" w:rsidRPr="00985EDF" w:rsidRDefault="007D77B0" w:rsidP="00CF5D5A">
      <w:pPr>
        <w:jc w:val="both"/>
        <w:rPr>
          <w:b/>
          <w:color w:val="000000" w:themeColor="text1"/>
          <w:lang w:val="bs-Latn-BA"/>
        </w:rPr>
      </w:pPr>
      <w:r>
        <w:rPr>
          <w:b/>
          <w:color w:val="000000" w:themeColor="text1"/>
          <w:lang w:val="ru-RU"/>
        </w:rPr>
        <w:t>Задатак</w:t>
      </w:r>
      <w:r w:rsidR="0064701C" w:rsidRPr="00985EDF">
        <w:rPr>
          <w:b/>
          <w:color w:val="000000" w:themeColor="text1"/>
          <w:lang w:val="ru-RU"/>
        </w:rPr>
        <w:t xml:space="preserve"> 1</w:t>
      </w:r>
      <w:r w:rsidR="000108B5" w:rsidRPr="00985EDF">
        <w:rPr>
          <w:b/>
          <w:color w:val="000000" w:themeColor="text1"/>
          <w:lang w:val="bs-Latn-BA"/>
        </w:rPr>
        <w:t>:</w:t>
      </w:r>
    </w:p>
    <w:p w:rsidR="00D52CA7" w:rsidRPr="00985EDF" w:rsidRDefault="007D77B0" w:rsidP="00D52CA7">
      <w:p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На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основу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сљедећих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информација</w:t>
      </w:r>
      <w:r w:rsidR="00D52CA7" w:rsidRPr="00985EDF">
        <w:rPr>
          <w:color w:val="000000" w:themeColor="text1"/>
          <w:lang w:val="sr-Cyrl-C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2160"/>
      </w:tblGrid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Нето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добитак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у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периоду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1,000.000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Трошкови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амортизације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Почетно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потраживања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од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купаца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100.000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Крајње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потраживања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од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купаца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120.000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Почетно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према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добављачима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100.000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Крајње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према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добављачима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110.000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Почетно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на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рачунима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залиха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200.000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Крајње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на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рачунима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залиха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210.000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Расходи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од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усклађивања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вриједности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сталне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имовине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Вишкови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алата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инвентара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Почетно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камате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Крајње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камате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15.000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Расходи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камата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у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периоду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50.000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Почетно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бруто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зараде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Крајње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бруто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зараде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Расходи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бруто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зарада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у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периоду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50.000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Номинална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вриједност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акција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емитованих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у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периоду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100.000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Емисиона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премија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10.000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Почетно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дивиденде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20.000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Крајње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стање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обавеза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за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дивиденде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30.000</w:t>
            </w:r>
          </w:p>
        </w:tc>
      </w:tr>
      <w:tr w:rsidR="00D52CA7" w:rsidRPr="00985EDF" w:rsidTr="00471082">
        <w:tc>
          <w:tcPr>
            <w:tcW w:w="6480" w:type="dxa"/>
            <w:shd w:val="clear" w:color="auto" w:fill="auto"/>
          </w:tcPr>
          <w:p w:rsidR="00D52CA7" w:rsidRPr="00985EDF" w:rsidRDefault="007D77B0" w:rsidP="00471082">
            <w:pPr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Дивиденде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објављене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у</w:t>
            </w:r>
            <w:r w:rsidR="00D52CA7" w:rsidRPr="00985EDF">
              <w:rPr>
                <w:color w:val="000000" w:themeColor="text1"/>
                <w:lang w:val="sr-Cyrl-CS"/>
              </w:rPr>
              <w:t xml:space="preserve"> </w:t>
            </w:r>
            <w:r>
              <w:rPr>
                <w:color w:val="000000" w:themeColor="text1"/>
                <w:lang w:val="sr-Cyrl-CS"/>
              </w:rPr>
              <w:t>периоду</w:t>
            </w:r>
          </w:p>
        </w:tc>
        <w:tc>
          <w:tcPr>
            <w:tcW w:w="2160" w:type="dxa"/>
            <w:shd w:val="clear" w:color="auto" w:fill="auto"/>
          </w:tcPr>
          <w:p w:rsidR="00D52CA7" w:rsidRPr="00985EDF" w:rsidRDefault="00D52CA7" w:rsidP="00471082">
            <w:pPr>
              <w:jc w:val="right"/>
              <w:rPr>
                <w:color w:val="000000" w:themeColor="text1"/>
                <w:lang w:val="sr-Cyrl-CS"/>
              </w:rPr>
            </w:pPr>
            <w:r w:rsidRPr="00985EDF">
              <w:rPr>
                <w:color w:val="000000" w:themeColor="text1"/>
                <w:lang w:val="sr-Cyrl-CS"/>
              </w:rPr>
              <w:t>50.000</w:t>
            </w:r>
          </w:p>
        </w:tc>
      </w:tr>
    </w:tbl>
    <w:p w:rsidR="00D52CA7" w:rsidRPr="00985EDF" w:rsidRDefault="007D77B0" w:rsidP="00D52CA7">
      <w:pPr>
        <w:spacing w:before="120"/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а</w:t>
      </w:r>
      <w:r w:rsidR="00D52CA7" w:rsidRPr="00985EDF">
        <w:rPr>
          <w:color w:val="000000" w:themeColor="text1"/>
          <w:lang w:val="sr-Cyrl-CS"/>
        </w:rPr>
        <w:t xml:space="preserve">) </w:t>
      </w:r>
      <w:r>
        <w:rPr>
          <w:color w:val="000000" w:themeColor="text1"/>
          <w:lang w:val="sr-Cyrl-CS"/>
        </w:rPr>
        <w:t>израчунати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нето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новчани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ток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из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пословних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активности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примјеном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индиректне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методе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квантификације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токова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готовине</w:t>
      </w:r>
    </w:p>
    <w:p w:rsidR="00D52CA7" w:rsidRPr="00985EDF" w:rsidRDefault="00D52CA7" w:rsidP="00D52CA7">
      <w:pPr>
        <w:jc w:val="right"/>
        <w:rPr>
          <w:color w:val="000000" w:themeColor="text1"/>
          <w:lang w:val="sr-Cyrl-CS"/>
        </w:rPr>
      </w:pPr>
      <w:r w:rsidRPr="00985EDF">
        <w:rPr>
          <w:color w:val="000000" w:themeColor="text1"/>
          <w:lang w:val="sr-Cyrl-CS"/>
        </w:rPr>
        <w:t xml:space="preserve">(15 </w:t>
      </w:r>
      <w:r w:rsidR="007D77B0">
        <w:rPr>
          <w:color w:val="000000" w:themeColor="text1"/>
          <w:lang w:val="sr-Cyrl-CS"/>
        </w:rPr>
        <w:t>бодова</w:t>
      </w:r>
      <w:r w:rsidRPr="00985EDF">
        <w:rPr>
          <w:color w:val="000000" w:themeColor="text1"/>
          <w:lang w:val="sr-Cyrl-CS"/>
        </w:rPr>
        <w:t>)</w:t>
      </w:r>
    </w:p>
    <w:p w:rsidR="00D52CA7" w:rsidRPr="00985EDF" w:rsidRDefault="007D77B0" w:rsidP="00D52CA7">
      <w:p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б</w:t>
      </w:r>
      <w:r w:rsidR="00D52CA7" w:rsidRPr="00985EDF">
        <w:rPr>
          <w:color w:val="000000" w:themeColor="text1"/>
          <w:lang w:val="sr-Cyrl-CS"/>
        </w:rPr>
        <w:t xml:space="preserve">) </w:t>
      </w:r>
      <w:r>
        <w:rPr>
          <w:color w:val="000000" w:themeColor="text1"/>
          <w:lang w:val="sr-Cyrl-CS"/>
        </w:rPr>
        <w:t>израчунати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укупан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нето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новчани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ток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периоду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објаснити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основне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разлике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између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директне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индиректне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методе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квантификације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токова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готовине</w:t>
      </w:r>
    </w:p>
    <w:p w:rsidR="00D52CA7" w:rsidRPr="00985EDF" w:rsidRDefault="00D52CA7" w:rsidP="00D52CA7">
      <w:pPr>
        <w:jc w:val="right"/>
        <w:rPr>
          <w:color w:val="000000" w:themeColor="text1"/>
          <w:lang w:val="sr-Cyrl-CS"/>
        </w:rPr>
      </w:pPr>
      <w:r w:rsidRPr="00985EDF">
        <w:rPr>
          <w:color w:val="000000" w:themeColor="text1"/>
          <w:lang w:val="sr-Cyrl-CS"/>
        </w:rPr>
        <w:t xml:space="preserve">(15 </w:t>
      </w:r>
      <w:r w:rsidR="007D77B0">
        <w:rPr>
          <w:color w:val="000000" w:themeColor="text1"/>
          <w:lang w:val="sr-Cyrl-CS"/>
        </w:rPr>
        <w:t>бодова</w:t>
      </w:r>
      <w:r w:rsidRPr="00985EDF">
        <w:rPr>
          <w:color w:val="000000" w:themeColor="text1"/>
          <w:lang w:val="sr-Cyrl-CS"/>
        </w:rPr>
        <w:t>)</w:t>
      </w:r>
    </w:p>
    <w:p w:rsidR="00D52CA7" w:rsidRPr="0038360E" w:rsidRDefault="007D77B0" w:rsidP="00D52CA7">
      <w:pPr>
        <w:jc w:val="both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Рјешење</w:t>
      </w:r>
      <w:r w:rsidR="00D52CA7" w:rsidRPr="0038360E">
        <w:rPr>
          <w:b/>
          <w:color w:val="000000" w:themeColor="text1"/>
          <w:lang w:val="sr-Cyrl-CS"/>
        </w:rPr>
        <w:t>:</w:t>
      </w:r>
    </w:p>
    <w:p w:rsidR="00D52CA7" w:rsidRPr="00985EDF" w:rsidRDefault="007D77B0" w:rsidP="00D52CA7">
      <w:p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а</w:t>
      </w:r>
      <w:r w:rsidR="00D52CA7" w:rsidRPr="00985EDF">
        <w:rPr>
          <w:color w:val="000000" w:themeColor="text1"/>
          <w:lang w:val="sr-Cyrl-CS"/>
        </w:rPr>
        <w:t xml:space="preserve">) </w:t>
      </w:r>
      <w:r>
        <w:rPr>
          <w:color w:val="000000" w:themeColor="text1"/>
          <w:lang w:val="sr-Cyrl-CS"/>
        </w:rPr>
        <w:t>Нето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новчани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ток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из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пословних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активности</w:t>
      </w:r>
      <w:r w:rsidR="00D52CA7" w:rsidRPr="00985EDF">
        <w:rPr>
          <w:color w:val="000000" w:themeColor="text1"/>
          <w:lang w:val="sr-Cyrl-CS"/>
        </w:rPr>
        <w:t xml:space="preserve"> = 1,000.000 + 20.000 (</w:t>
      </w:r>
      <w:r>
        <w:rPr>
          <w:color w:val="000000" w:themeColor="text1"/>
          <w:lang w:val="sr-Cyrl-CS"/>
        </w:rPr>
        <w:t>амортизација</w:t>
      </w:r>
      <w:r w:rsidR="00D52CA7" w:rsidRPr="00985EDF">
        <w:rPr>
          <w:color w:val="000000" w:themeColor="text1"/>
          <w:lang w:val="sr-Cyrl-CS"/>
        </w:rPr>
        <w:t>) + 20.000 (</w:t>
      </w:r>
      <w:r>
        <w:rPr>
          <w:color w:val="000000" w:themeColor="text1"/>
          <w:lang w:val="sr-Cyrl-CS"/>
        </w:rPr>
        <w:t>расходи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усклађивања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вриједности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сталне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имовине</w:t>
      </w:r>
      <w:r w:rsidR="00D52CA7" w:rsidRPr="00985EDF">
        <w:rPr>
          <w:color w:val="000000" w:themeColor="text1"/>
          <w:lang w:val="sr-Cyrl-CS"/>
        </w:rPr>
        <w:t>) – 2.000 (</w:t>
      </w:r>
      <w:r>
        <w:rPr>
          <w:color w:val="000000" w:themeColor="text1"/>
          <w:lang w:val="sr-Cyrl-CS"/>
        </w:rPr>
        <w:t>вишкови</w:t>
      </w:r>
      <w:r w:rsidR="00D52CA7" w:rsidRPr="00985EDF">
        <w:rPr>
          <w:color w:val="000000" w:themeColor="text1"/>
          <w:lang w:val="sr-Cyrl-CS"/>
        </w:rPr>
        <w:t>) + 50.000 (</w:t>
      </w:r>
      <w:r>
        <w:rPr>
          <w:color w:val="000000" w:themeColor="text1"/>
          <w:lang w:val="sr-Cyrl-CS"/>
        </w:rPr>
        <w:t>расходи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камата</w:t>
      </w:r>
      <w:r w:rsidR="00D52CA7" w:rsidRPr="00985EDF">
        <w:rPr>
          <w:color w:val="000000" w:themeColor="text1"/>
          <w:lang w:val="sr-Cyrl-CS"/>
        </w:rPr>
        <w:t>) – 20.000 (</w:t>
      </w:r>
      <w:r>
        <w:rPr>
          <w:color w:val="000000" w:themeColor="text1"/>
          <w:lang w:val="sr-Cyrl-CS"/>
        </w:rPr>
        <w:t>промјена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салда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потраживања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од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купаца</w:t>
      </w:r>
      <w:r w:rsidR="00D52CA7" w:rsidRPr="00985EDF">
        <w:rPr>
          <w:color w:val="000000" w:themeColor="text1"/>
          <w:lang w:val="sr-Cyrl-CS"/>
        </w:rPr>
        <w:t>) + 10.000 (</w:t>
      </w:r>
      <w:r>
        <w:rPr>
          <w:color w:val="000000" w:themeColor="text1"/>
          <w:lang w:val="sr-Cyrl-CS"/>
        </w:rPr>
        <w:t>промјена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салда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обавеза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према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добављачима</w:t>
      </w:r>
      <w:r w:rsidR="00D52CA7" w:rsidRPr="00985EDF">
        <w:rPr>
          <w:color w:val="000000" w:themeColor="text1"/>
          <w:lang w:val="sr-Cyrl-CS"/>
        </w:rPr>
        <w:t>) – 10.000 (</w:t>
      </w:r>
      <w:r>
        <w:rPr>
          <w:color w:val="000000" w:themeColor="text1"/>
          <w:lang w:val="sr-Cyrl-CS"/>
        </w:rPr>
        <w:t>промјена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салда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залиха</w:t>
      </w:r>
      <w:r w:rsidR="00D52CA7" w:rsidRPr="00985EDF">
        <w:rPr>
          <w:color w:val="000000" w:themeColor="text1"/>
          <w:lang w:val="sr-Cyrl-CS"/>
        </w:rPr>
        <w:t>) – 10.000 (</w:t>
      </w:r>
      <w:r>
        <w:rPr>
          <w:color w:val="000000" w:themeColor="text1"/>
          <w:lang w:val="sr-Cyrl-CS"/>
        </w:rPr>
        <w:t>промјена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салда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обавеза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бруто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зараде</w:t>
      </w:r>
      <w:r w:rsidR="00D52CA7" w:rsidRPr="00985EDF">
        <w:rPr>
          <w:color w:val="000000" w:themeColor="text1"/>
          <w:lang w:val="sr-Cyrl-CS"/>
        </w:rPr>
        <w:t xml:space="preserve">) = </w:t>
      </w:r>
      <w:r w:rsidR="00D52CA7" w:rsidRPr="00985EDF">
        <w:rPr>
          <w:b/>
          <w:color w:val="000000" w:themeColor="text1"/>
          <w:lang w:val="sr-Cyrl-CS"/>
        </w:rPr>
        <w:t>1,058.000</w:t>
      </w:r>
      <w:r w:rsidR="00D52CA7" w:rsidRPr="00985EDF">
        <w:rPr>
          <w:color w:val="000000" w:themeColor="text1"/>
          <w:lang w:val="sr-Cyrl-CS"/>
        </w:rPr>
        <w:t xml:space="preserve"> </w:t>
      </w:r>
    </w:p>
    <w:p w:rsidR="00D52CA7" w:rsidRPr="00985EDF" w:rsidRDefault="007D77B0" w:rsidP="00D52CA7">
      <w:pPr>
        <w:jc w:val="both"/>
        <w:rPr>
          <w:b/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б</w:t>
      </w:r>
      <w:r w:rsidR="00D52CA7" w:rsidRPr="00985EDF">
        <w:rPr>
          <w:color w:val="000000" w:themeColor="text1"/>
          <w:lang w:val="sr-Cyrl-CS"/>
        </w:rPr>
        <w:t xml:space="preserve">) </w:t>
      </w:r>
      <w:r>
        <w:rPr>
          <w:color w:val="000000" w:themeColor="text1"/>
          <w:lang w:val="sr-Cyrl-CS"/>
        </w:rPr>
        <w:t>Укупан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нето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новчани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ток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у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периоду</w:t>
      </w:r>
      <w:r w:rsidR="00D52CA7" w:rsidRPr="00985EDF">
        <w:rPr>
          <w:color w:val="000000" w:themeColor="text1"/>
          <w:lang w:val="sr-Cyrl-CS"/>
        </w:rPr>
        <w:t xml:space="preserve"> = 1,058.000 + 5.000 (</w:t>
      </w:r>
      <w:r>
        <w:rPr>
          <w:color w:val="000000" w:themeColor="text1"/>
          <w:lang w:val="sr-Cyrl-CS"/>
        </w:rPr>
        <w:t>промјена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салда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обавеза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за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камате</w:t>
      </w:r>
      <w:r w:rsidR="00D52CA7" w:rsidRPr="00985EDF">
        <w:rPr>
          <w:color w:val="000000" w:themeColor="text1"/>
          <w:lang w:val="sr-Cyrl-CS"/>
        </w:rPr>
        <w:t>) + 110.000 (</w:t>
      </w:r>
      <w:r>
        <w:rPr>
          <w:color w:val="000000" w:themeColor="text1"/>
          <w:lang w:val="sr-Cyrl-CS"/>
        </w:rPr>
        <w:t>емитоване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акције</w:t>
      </w:r>
      <w:r w:rsidR="00D52CA7" w:rsidRPr="00985EDF">
        <w:rPr>
          <w:color w:val="000000" w:themeColor="text1"/>
          <w:lang w:val="sr-Cyrl-CS"/>
        </w:rPr>
        <w:t>) – 40.000 (</w:t>
      </w:r>
      <w:r>
        <w:rPr>
          <w:color w:val="000000" w:themeColor="text1"/>
          <w:lang w:val="sr-Cyrl-CS"/>
        </w:rPr>
        <w:t>исплаћене</w:t>
      </w:r>
      <w:r w:rsidR="00D52CA7" w:rsidRPr="00985ED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дивиденде</w:t>
      </w:r>
      <w:r w:rsidR="00D52CA7" w:rsidRPr="00985EDF">
        <w:rPr>
          <w:color w:val="000000" w:themeColor="text1"/>
          <w:lang w:val="sr-Cyrl-CS"/>
        </w:rPr>
        <w:t xml:space="preserve">) = </w:t>
      </w:r>
      <w:r w:rsidR="00D52CA7" w:rsidRPr="00985EDF">
        <w:rPr>
          <w:b/>
          <w:color w:val="000000" w:themeColor="text1"/>
          <w:lang w:val="sr-Cyrl-CS"/>
        </w:rPr>
        <w:t>1,133.000</w:t>
      </w:r>
    </w:p>
    <w:p w:rsidR="00D52CA7" w:rsidRPr="00985EDF" w:rsidRDefault="00D52CA7" w:rsidP="00D52CA7">
      <w:pPr>
        <w:jc w:val="both"/>
        <w:rPr>
          <w:color w:val="000000" w:themeColor="text1"/>
          <w:lang w:val="sr-Cyrl-CS"/>
        </w:rPr>
      </w:pPr>
      <w:r w:rsidRPr="00985EDF">
        <w:rPr>
          <w:color w:val="000000" w:themeColor="text1"/>
          <w:lang w:val="sr-Cyrl-CS"/>
        </w:rPr>
        <w:t xml:space="preserve">- </w:t>
      </w:r>
      <w:r w:rsidR="007D77B0">
        <w:rPr>
          <w:color w:val="000000" w:themeColor="text1"/>
          <w:lang w:val="sr-Cyrl-CS"/>
        </w:rPr>
        <w:t>Директна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индиректна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метода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квантификације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токова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готовине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разликују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само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домену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квантификације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токова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готовине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из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пословних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активности</w:t>
      </w:r>
      <w:r w:rsidRPr="00985EDF">
        <w:rPr>
          <w:color w:val="000000" w:themeColor="text1"/>
          <w:lang w:val="sr-Cyrl-CS"/>
        </w:rPr>
        <w:t xml:space="preserve">. </w:t>
      </w:r>
      <w:r w:rsidR="007D77B0">
        <w:rPr>
          <w:color w:val="000000" w:themeColor="text1"/>
          <w:lang w:val="sr-Cyrl-CS"/>
        </w:rPr>
        <w:t>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случају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примјене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директне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методе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квантификују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основне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категорије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бруто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прилива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бруто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одлива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готовине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из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пословних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активности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за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разлику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од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индиректне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методе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када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нето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финансијски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резултат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периоду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прерачунава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на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нето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новчани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ток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из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пословних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активности</w:t>
      </w:r>
      <w:r w:rsidRPr="00985EDF">
        <w:rPr>
          <w:color w:val="000000" w:themeColor="text1"/>
          <w:lang w:val="sr-Cyrl-CS"/>
        </w:rPr>
        <w:t xml:space="preserve"> (</w:t>
      </w:r>
      <w:r w:rsidR="007D77B0">
        <w:rPr>
          <w:color w:val="000000" w:themeColor="text1"/>
          <w:lang w:val="sr-Cyrl-CS"/>
        </w:rPr>
        <w:t>елиминише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утицај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пословних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расхода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прихода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обрачунског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карактера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као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расхода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прихода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повезаних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инвестиционим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финансијским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активностима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врши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корекција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основу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ефеката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промјене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крајњих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односу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на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почетна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стања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потраживања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од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купаца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обавеза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према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добављачима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залиха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и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других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релевантних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билансних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позиција</w:t>
      </w:r>
      <w:r w:rsidRPr="00985EDF">
        <w:rPr>
          <w:color w:val="000000" w:themeColor="text1"/>
          <w:lang w:val="sr-Cyrl-CS"/>
        </w:rPr>
        <w:t xml:space="preserve">, </w:t>
      </w:r>
      <w:r w:rsidR="007D77B0">
        <w:rPr>
          <w:color w:val="000000" w:themeColor="text1"/>
          <w:lang w:val="sr-Cyrl-CS"/>
        </w:rPr>
        <w:t>повезаних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за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пословним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активностима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у</w:t>
      </w:r>
      <w:r w:rsidRPr="00985EDF">
        <w:rPr>
          <w:color w:val="000000" w:themeColor="text1"/>
          <w:lang w:val="sr-Cyrl-CS"/>
        </w:rPr>
        <w:t xml:space="preserve"> </w:t>
      </w:r>
      <w:r w:rsidR="007D77B0">
        <w:rPr>
          <w:color w:val="000000" w:themeColor="text1"/>
          <w:lang w:val="sr-Cyrl-CS"/>
        </w:rPr>
        <w:t>периоду</w:t>
      </w:r>
      <w:r w:rsidRPr="00985EDF">
        <w:rPr>
          <w:color w:val="000000" w:themeColor="text1"/>
          <w:lang w:val="sr-Cyrl-CS"/>
        </w:rPr>
        <w:t>).</w:t>
      </w:r>
    </w:p>
    <w:p w:rsidR="00075003" w:rsidRPr="0038360E" w:rsidRDefault="00C61008" w:rsidP="00075003">
      <w:pPr>
        <w:jc w:val="both"/>
        <w:rPr>
          <w:b/>
          <w:color w:val="000000" w:themeColor="text1"/>
          <w:lang w:val="bs-Latn-BA"/>
        </w:rPr>
      </w:pPr>
      <w:r w:rsidRPr="00985EDF">
        <w:rPr>
          <w:b/>
          <w:color w:val="000000" w:themeColor="text1"/>
          <w:lang w:val="ru-RU"/>
        </w:rPr>
        <w:br w:type="page"/>
      </w:r>
      <w:r w:rsidR="007D77B0">
        <w:rPr>
          <w:b/>
          <w:color w:val="000000" w:themeColor="text1"/>
          <w:lang w:val="ru-RU"/>
        </w:rPr>
        <w:lastRenderedPageBreak/>
        <w:t>Задатак</w:t>
      </w:r>
      <w:r w:rsidR="00075003" w:rsidRPr="00985EDF">
        <w:rPr>
          <w:b/>
          <w:color w:val="000000" w:themeColor="text1"/>
          <w:lang w:val="ru-RU"/>
        </w:rPr>
        <w:t xml:space="preserve"> 2</w:t>
      </w:r>
      <w:r w:rsidR="0038360E">
        <w:rPr>
          <w:b/>
          <w:color w:val="000000" w:themeColor="text1"/>
          <w:lang w:val="bs-Latn-BA"/>
        </w:rPr>
        <w:t>:</w:t>
      </w:r>
    </w:p>
    <w:p w:rsidR="000108B5" w:rsidRPr="00985EDF" w:rsidRDefault="000108B5" w:rsidP="00075003">
      <w:pPr>
        <w:jc w:val="both"/>
        <w:rPr>
          <w:b/>
          <w:color w:val="000000" w:themeColor="text1"/>
          <w:lang w:val="bs-Latn-BA"/>
        </w:rPr>
      </w:pPr>
    </w:p>
    <w:p w:rsidR="000108B5" w:rsidRPr="00985EDF" w:rsidRDefault="007D77B0" w:rsidP="000108B5">
      <w:pPr>
        <w:jc w:val="both"/>
        <w:rPr>
          <w:bCs/>
          <w:color w:val="000000" w:themeColor="text1"/>
        </w:rPr>
      </w:pPr>
      <w:proofErr w:type="gramStart"/>
      <w:r>
        <w:rPr>
          <w:bCs/>
          <w:color w:val="000000" w:themeColor="text1"/>
        </w:rPr>
        <w:t>Друштво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посједује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грађевинско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земљиште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почетно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исказано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набавној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</w:t>
      </w:r>
      <w:r w:rsidR="000108B5" w:rsidRPr="00985EDF">
        <w:rPr>
          <w:bCs/>
          <w:color w:val="000000" w:themeColor="text1"/>
        </w:rPr>
        <w:t xml:space="preserve"> 1.000.000 </w:t>
      </w:r>
      <w:r>
        <w:rPr>
          <w:bCs/>
          <w:color w:val="000000" w:themeColor="text1"/>
        </w:rPr>
        <w:t>КМ</w:t>
      </w:r>
      <w:r w:rsidR="000108B5" w:rsidRPr="00985EDF">
        <w:rPr>
          <w:bCs/>
          <w:color w:val="000000" w:themeColor="text1"/>
        </w:rPr>
        <w:t>.</w:t>
      </w:r>
      <w:proofErr w:type="gramEnd"/>
      <w:r w:rsidR="000108B5" w:rsidRPr="00985EDF">
        <w:rPr>
          <w:bCs/>
          <w:color w:val="000000" w:themeColor="text1"/>
        </w:rPr>
        <w:t xml:space="preserve"> </w:t>
      </w:r>
      <w:proofErr w:type="gramStart"/>
      <w:r>
        <w:rPr>
          <w:bCs/>
          <w:color w:val="000000" w:themeColor="text1"/>
        </w:rPr>
        <w:t>Земљиште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накнадно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ревалоризирано</w:t>
      </w:r>
      <w:r w:rsidR="000108B5" w:rsidRPr="00985EDF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потом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продано</w:t>
      </w:r>
      <w:r w:rsidR="000108B5" w:rsidRPr="00985EDF">
        <w:rPr>
          <w:bCs/>
          <w:color w:val="000000" w:themeColor="text1"/>
        </w:rPr>
        <w:t>.</w:t>
      </w:r>
      <w:proofErr w:type="gramEnd"/>
      <w:r w:rsidR="000108B5" w:rsidRPr="00985EDF">
        <w:rPr>
          <w:bCs/>
          <w:color w:val="000000" w:themeColor="text1"/>
        </w:rPr>
        <w:t xml:space="preserve"> </w:t>
      </w:r>
    </w:p>
    <w:p w:rsidR="000108B5" w:rsidRPr="00985EDF" w:rsidRDefault="007D77B0" w:rsidP="000108B5">
      <w:pPr>
        <w:jc w:val="both"/>
        <w:rPr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Од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Вас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тражи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да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обавите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одређена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књижења</w:t>
      </w:r>
      <w:r w:rsidR="000108B5" w:rsidRPr="00985EDF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</w:t>
      </w:r>
      <w:r w:rsidR="000108B5" w:rsidRPr="00985EDF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контима</w:t>
      </w:r>
      <w:r w:rsidR="000108B5" w:rsidRPr="00985EDF">
        <w:rPr>
          <w:bCs/>
          <w:color w:val="000000" w:themeColor="text1"/>
        </w:rPr>
        <w:t xml:space="preserve">), </w:t>
      </w:r>
      <w:r>
        <w:rPr>
          <w:b/>
          <w:bCs/>
          <w:color w:val="000000" w:themeColor="text1"/>
        </w:rPr>
        <w:t>прикажете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обрачуне</w:t>
      </w:r>
      <w:r w:rsidR="000108B5" w:rsidRPr="00985EDF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извјештаје</w:t>
      </w:r>
      <w:r w:rsidR="000108B5" w:rsidRPr="00985EDF">
        <w:rPr>
          <w:b/>
          <w:bCs/>
          <w:color w:val="000000" w:themeColor="text1"/>
        </w:rPr>
        <w:t xml:space="preserve"> </w:t>
      </w:r>
      <w:r w:rsidR="000108B5" w:rsidRPr="00985EDF">
        <w:rPr>
          <w:bCs/>
          <w:color w:val="000000" w:themeColor="text1"/>
        </w:rPr>
        <w:t>(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скраћеним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облицима</w:t>
      </w:r>
      <w:r w:rsidR="000108B5" w:rsidRPr="00985EDF">
        <w:rPr>
          <w:bCs/>
          <w:color w:val="000000" w:themeColor="text1"/>
        </w:rPr>
        <w:t xml:space="preserve">), </w:t>
      </w:r>
      <w:r>
        <w:rPr>
          <w:bCs/>
          <w:color w:val="000000" w:themeColor="text1"/>
        </w:rPr>
        <w:t>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опишете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рачуноводствене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поступке</w:t>
      </w:r>
      <w:r w:rsidR="000108B5" w:rsidRPr="00985EDF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т</w:t>
      </w:r>
      <w:r w:rsidR="000108B5" w:rsidRPr="00985EDF">
        <w:rPr>
          <w:bCs/>
          <w:color w:val="000000" w:themeColor="text1"/>
        </w:rPr>
        <w:t>. 5).</w:t>
      </w:r>
      <w:proofErr w:type="gramEnd"/>
    </w:p>
    <w:p w:rsidR="000108B5" w:rsidRPr="00985EDF" w:rsidRDefault="007D77B0" w:rsidP="000108B5">
      <w:pPr>
        <w:numPr>
          <w:ilvl w:val="0"/>
          <w:numId w:val="25"/>
        </w:numPr>
        <w:ind w:left="357" w:hanging="35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датум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извјештаја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финанцијском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положају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земљиште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фер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</w:t>
      </w:r>
      <w:r w:rsidR="000108B5" w:rsidRPr="00985EDF">
        <w:rPr>
          <w:bCs/>
          <w:color w:val="000000" w:themeColor="text1"/>
        </w:rPr>
        <w:t xml:space="preserve"> 1.400.000</w:t>
      </w:r>
      <w:proofErr w:type="gramStart"/>
      <w:r w:rsidR="000108B5" w:rsidRPr="00985EDF">
        <w:rPr>
          <w:bCs/>
          <w:color w:val="000000" w:themeColor="text1"/>
        </w:rPr>
        <w:t>,00</w:t>
      </w:r>
      <w:proofErr w:type="gramEnd"/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КМ</w:t>
      </w:r>
      <w:r w:rsidR="000108B5" w:rsidRPr="00985EDF">
        <w:rPr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Прокњижити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ревалоризацију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земљишта</w:t>
      </w:r>
      <w:r w:rsidR="000108B5" w:rsidRPr="00985EDF">
        <w:rPr>
          <w:b/>
          <w:bCs/>
          <w:color w:val="000000" w:themeColor="text1"/>
        </w:rPr>
        <w:t xml:space="preserve"> </w:t>
      </w:r>
      <w:r w:rsidR="000108B5" w:rsidRPr="00985EDF">
        <w:rPr>
          <w:bCs/>
          <w:color w:val="000000" w:themeColor="text1"/>
        </w:rPr>
        <w:t>(</w:t>
      </w:r>
      <w:r>
        <w:rPr>
          <w:bCs/>
          <w:color w:val="000000" w:themeColor="text1"/>
        </w:rPr>
        <w:t>укључиво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одгођену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порезну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обвезу</w:t>
      </w:r>
      <w:r w:rsidR="000108B5" w:rsidRPr="00985EDF">
        <w:rPr>
          <w:bCs/>
          <w:color w:val="000000" w:themeColor="text1"/>
        </w:rPr>
        <w:t xml:space="preserve"> – 10%), </w:t>
      </w:r>
      <w:r>
        <w:rPr>
          <w:bCs/>
          <w:color w:val="000000" w:themeColor="text1"/>
        </w:rPr>
        <w:t>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израчунати</w:t>
      </w:r>
      <w:r w:rsidR="000108B5" w:rsidRPr="00985EDF">
        <w:rPr>
          <w:b/>
          <w:bCs/>
          <w:color w:val="000000" w:themeColor="text1"/>
        </w:rPr>
        <w:t xml:space="preserve"> </w:t>
      </w:r>
      <w:r w:rsidR="000108B5" w:rsidRPr="00985EDF">
        <w:rPr>
          <w:bCs/>
          <w:color w:val="000000" w:themeColor="text1"/>
        </w:rPr>
        <w:t>(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приказати</w:t>
      </w:r>
      <w:r w:rsidR="000108B5" w:rsidRPr="00985EDF">
        <w:rPr>
          <w:bCs/>
          <w:color w:val="000000" w:themeColor="text1"/>
        </w:rPr>
        <w:t>)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осталу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свеобухватну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добит</w:t>
      </w:r>
      <w:r w:rsidR="000108B5" w:rsidRPr="00985EDF">
        <w:rPr>
          <w:b/>
          <w:bCs/>
          <w:color w:val="000000" w:themeColor="text1"/>
        </w:rPr>
        <w:t>.</w:t>
      </w:r>
    </w:p>
    <w:p w:rsidR="000108B5" w:rsidRPr="00985EDF" w:rsidRDefault="007D77B0" w:rsidP="000108B5">
      <w:pPr>
        <w:numPr>
          <w:ilvl w:val="0"/>
          <w:numId w:val="25"/>
        </w:numPr>
        <w:ind w:left="357" w:hanging="35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Након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ревалоризације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земљиште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продано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износ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</w:t>
      </w:r>
      <w:r w:rsidR="000108B5" w:rsidRPr="00985EDF">
        <w:rPr>
          <w:bCs/>
          <w:color w:val="000000" w:themeColor="text1"/>
        </w:rPr>
        <w:t xml:space="preserve"> 1.400.000</w:t>
      </w:r>
      <w:proofErr w:type="gramStart"/>
      <w:r w:rsidR="000108B5" w:rsidRPr="00985EDF">
        <w:rPr>
          <w:bCs/>
          <w:color w:val="000000" w:themeColor="text1"/>
        </w:rPr>
        <w:t>,00</w:t>
      </w:r>
      <w:proofErr w:type="gramEnd"/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КМ</w:t>
      </w:r>
      <w:r w:rsidR="000108B5" w:rsidRPr="00985EDF">
        <w:rPr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Искњижити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земљиште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из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пословних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књига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подузећа</w:t>
      </w:r>
      <w:r w:rsidR="000108B5" w:rsidRPr="00985EDF">
        <w:rPr>
          <w:bCs/>
          <w:color w:val="000000" w:themeColor="text1"/>
        </w:rPr>
        <w:t>.</w:t>
      </w:r>
    </w:p>
    <w:p w:rsidR="000108B5" w:rsidRPr="00985EDF" w:rsidRDefault="007D77B0" w:rsidP="000108B5">
      <w:pPr>
        <w:numPr>
          <w:ilvl w:val="0"/>
          <w:numId w:val="25"/>
        </w:numPr>
        <w:ind w:left="357" w:hanging="357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Обрачунати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порез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на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добит</w:t>
      </w:r>
      <w:r w:rsidR="000108B5" w:rsidRPr="00985EDF">
        <w:rPr>
          <w:b/>
          <w:bCs/>
          <w:color w:val="000000" w:themeColor="text1"/>
        </w:rPr>
        <w:t xml:space="preserve"> </w:t>
      </w:r>
      <w:r w:rsidR="000108B5" w:rsidRPr="00985EDF">
        <w:rPr>
          <w:bCs/>
          <w:color w:val="000000" w:themeColor="text1"/>
        </w:rPr>
        <w:t>(10%)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у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порезном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билансу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ако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добит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пословне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године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пореза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износи</w:t>
      </w:r>
      <w:r w:rsidR="000108B5" w:rsidRPr="00985EDF">
        <w:rPr>
          <w:bCs/>
          <w:color w:val="000000" w:themeColor="text1"/>
        </w:rPr>
        <w:t xml:space="preserve"> 700.000,00 </w:t>
      </w:r>
      <w:r>
        <w:rPr>
          <w:bCs/>
          <w:color w:val="000000" w:themeColor="text1"/>
        </w:rPr>
        <w:t>КМ</w:t>
      </w:r>
      <w:r w:rsidR="000108B5" w:rsidRPr="00985EDF">
        <w:rPr>
          <w:bCs/>
          <w:color w:val="000000" w:themeColor="text1"/>
        </w:rPr>
        <w:t>.</w:t>
      </w:r>
    </w:p>
    <w:p w:rsidR="000108B5" w:rsidRPr="00985EDF" w:rsidRDefault="007D77B0" w:rsidP="000108B5">
      <w:pPr>
        <w:numPr>
          <w:ilvl w:val="0"/>
          <w:numId w:val="25"/>
        </w:numPr>
        <w:ind w:left="357" w:hanging="357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Прокњижити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порез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на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добит</w:t>
      </w:r>
      <w:r w:rsidR="000108B5" w:rsidRPr="00985EDF">
        <w:rPr>
          <w:b/>
          <w:bCs/>
          <w:color w:val="000000" w:themeColor="text1"/>
        </w:rPr>
        <w:t xml:space="preserve">, </w:t>
      </w:r>
      <w:r>
        <w:rPr>
          <w:b/>
          <w:bCs/>
          <w:color w:val="000000" w:themeColor="text1"/>
        </w:rPr>
        <w:t>реализиране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ревалоризацијске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резерве</w:t>
      </w:r>
      <w:r w:rsidR="000108B5" w:rsidRPr="00985EDF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одгођени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порез</w:t>
      </w:r>
      <w:r w:rsidR="000108B5" w:rsidRPr="00985EDF">
        <w:rPr>
          <w:bCs/>
          <w:color w:val="000000" w:themeColor="text1"/>
        </w:rPr>
        <w:t xml:space="preserve">) 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обрачун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резултата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до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нето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добити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текуће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године</w:t>
      </w:r>
      <w:r w:rsidR="000108B5" w:rsidRPr="00985EDF">
        <w:rPr>
          <w:bCs/>
          <w:color w:val="000000" w:themeColor="text1"/>
        </w:rPr>
        <w:t>.</w:t>
      </w:r>
    </w:p>
    <w:p w:rsidR="000108B5" w:rsidRPr="00985EDF" w:rsidRDefault="007D77B0" w:rsidP="000108B5">
      <w:pPr>
        <w:numPr>
          <w:ilvl w:val="0"/>
          <w:numId w:val="25"/>
        </w:numPr>
        <w:ind w:left="357" w:hanging="35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Узимајући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обзир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одредбе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ревидираног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МРС</w:t>
      </w:r>
      <w:r w:rsidR="000108B5" w:rsidRPr="00985EDF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а</w:t>
      </w:r>
      <w:r w:rsidR="000108B5" w:rsidRPr="00985EDF">
        <w:rPr>
          <w:bCs/>
          <w:color w:val="000000" w:themeColor="text1"/>
        </w:rPr>
        <w:t xml:space="preserve"> 1 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СИЦ</w:t>
      </w:r>
      <w:r w:rsidR="000108B5" w:rsidRPr="00985EDF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а</w:t>
      </w:r>
      <w:r w:rsidR="000108B5" w:rsidRPr="00985EDF">
        <w:rPr>
          <w:bCs/>
          <w:color w:val="000000" w:themeColor="text1"/>
        </w:rPr>
        <w:t xml:space="preserve"> 21, </w:t>
      </w:r>
      <w:r>
        <w:rPr>
          <w:b/>
          <w:bCs/>
          <w:color w:val="000000" w:themeColor="text1"/>
        </w:rPr>
        <w:t>појасните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рачуноводствени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обухват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дуготрајне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имовине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амортизира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случајевима</w:t>
      </w:r>
      <w:r w:rsidR="000108B5" w:rsidRPr="00985EDF">
        <w:rPr>
          <w:bCs/>
          <w:color w:val="000000" w:themeColor="text1"/>
        </w:rPr>
        <w:t>:</w:t>
      </w:r>
    </w:p>
    <w:p w:rsidR="000108B5" w:rsidRPr="00985EDF" w:rsidRDefault="007D77B0" w:rsidP="000108B5">
      <w:pPr>
        <w:numPr>
          <w:ilvl w:val="0"/>
          <w:numId w:val="27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ако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имовина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испод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књиговодствене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вриједности</w:t>
      </w:r>
      <w:r w:rsidR="000108B5" w:rsidRPr="00985EDF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била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ревалоризације</w:t>
      </w:r>
      <w:r w:rsidR="000108B5" w:rsidRPr="00985EDF">
        <w:rPr>
          <w:bCs/>
          <w:color w:val="000000" w:themeColor="text1"/>
        </w:rPr>
        <w:t xml:space="preserve">) </w:t>
      </w:r>
      <w:r>
        <w:rPr>
          <w:bCs/>
          <w:color w:val="000000" w:themeColor="text1"/>
        </w:rPr>
        <w:t>и</w:t>
      </w:r>
    </w:p>
    <w:p w:rsidR="000108B5" w:rsidRPr="00985EDF" w:rsidRDefault="007D77B0" w:rsidP="000108B5">
      <w:pPr>
        <w:numPr>
          <w:ilvl w:val="0"/>
          <w:numId w:val="27"/>
        </w:numPr>
        <w:jc w:val="both"/>
        <w:rPr>
          <w:bCs/>
          <w:color w:val="000000" w:themeColor="text1"/>
        </w:rPr>
      </w:pPr>
      <w:proofErr w:type="gramStart"/>
      <w:r>
        <w:rPr>
          <w:bCs/>
          <w:color w:val="000000" w:themeColor="text1"/>
        </w:rPr>
        <w:t>ако</w:t>
      </w:r>
      <w:proofErr w:type="gramEnd"/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имовина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цијени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прекорачује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не</w:t>
      </w:r>
      <w:r w:rsidR="000108B5" w:rsidRPr="00985EDF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амортизирајуће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имовине</w:t>
      </w:r>
      <w:r w:rsidR="000108B5" w:rsidRPr="00985EDF">
        <w:rPr>
          <w:bCs/>
          <w:color w:val="000000" w:themeColor="text1"/>
        </w:rPr>
        <w:t>.</w:t>
      </w:r>
    </w:p>
    <w:p w:rsidR="000108B5" w:rsidRPr="00985EDF" w:rsidRDefault="000108B5" w:rsidP="000108B5">
      <w:pPr>
        <w:ind w:left="717"/>
        <w:jc w:val="both"/>
        <w:rPr>
          <w:bCs/>
          <w:color w:val="000000" w:themeColor="text1"/>
        </w:rPr>
      </w:pPr>
    </w:p>
    <w:p w:rsidR="00985EDF" w:rsidRPr="00985EDF" w:rsidRDefault="007D77B0" w:rsidP="00985EDF">
      <w:pPr>
        <w:rPr>
          <w:b/>
          <w:color w:val="000000" w:themeColor="text1"/>
        </w:rPr>
      </w:pPr>
      <w:r>
        <w:rPr>
          <w:b/>
          <w:color w:val="000000" w:themeColor="text1"/>
        </w:rPr>
        <w:t>Рјешење</w:t>
      </w:r>
      <w:r w:rsidR="00985EDF" w:rsidRPr="00985EDF">
        <w:rPr>
          <w:b/>
          <w:color w:val="000000" w:themeColor="text1"/>
        </w:rPr>
        <w:t>:</w:t>
      </w:r>
    </w:p>
    <w:p w:rsidR="00985EDF" w:rsidRPr="00985EDF" w:rsidRDefault="00985EDF" w:rsidP="00985EDF">
      <w:pPr>
        <w:rPr>
          <w:color w:val="000000" w:themeColor="text1"/>
        </w:rPr>
      </w:pPr>
    </w:p>
    <w:p w:rsidR="000108B5" w:rsidRPr="00985EDF" w:rsidRDefault="007D77B0" w:rsidP="000108B5">
      <w:pPr>
        <w:numPr>
          <w:ilvl w:val="0"/>
          <w:numId w:val="26"/>
        </w:numPr>
        <w:ind w:left="357" w:hanging="357"/>
        <w:rPr>
          <w:color w:val="000000" w:themeColor="text1"/>
        </w:rPr>
      </w:pPr>
      <w:r>
        <w:rPr>
          <w:b/>
          <w:color w:val="000000" w:themeColor="text1"/>
        </w:rPr>
        <w:t>Ревалоризација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земљишта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приказ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остале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свеобухватне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добити</w:t>
      </w:r>
      <w:r w:rsidR="00BC4B68">
        <w:rPr>
          <w:b/>
          <w:color w:val="000000" w:themeColor="text1"/>
        </w:rPr>
        <w:t xml:space="preserve"> </w:t>
      </w:r>
      <w:r w:rsidR="00BC4B68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 xml:space="preserve"> </w:t>
      </w:r>
      <w:r w:rsidR="000108B5" w:rsidRPr="00985EDF">
        <w:rPr>
          <w:color w:val="000000" w:themeColor="text1"/>
        </w:rPr>
        <w:t xml:space="preserve">(5 </w:t>
      </w:r>
      <w:r>
        <w:rPr>
          <w:color w:val="000000" w:themeColor="text1"/>
        </w:rPr>
        <w:t>бодова</w:t>
      </w:r>
      <w:r w:rsidR="000108B5" w:rsidRPr="00985EDF">
        <w:rPr>
          <w:color w:val="000000" w:themeColor="text1"/>
        </w:rPr>
        <w:t>)</w:t>
      </w:r>
    </w:p>
    <w:tbl>
      <w:tblPr>
        <w:tblW w:w="9277" w:type="dxa"/>
        <w:jc w:val="center"/>
        <w:tblLook w:val="04A0"/>
      </w:tblPr>
      <w:tblGrid>
        <w:gridCol w:w="235"/>
        <w:gridCol w:w="2097"/>
        <w:gridCol w:w="2097"/>
        <w:gridCol w:w="397"/>
        <w:gridCol w:w="2097"/>
        <w:gridCol w:w="2097"/>
        <w:gridCol w:w="257"/>
      </w:tblGrid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Грађевинско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земљиште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Ревалоризацијске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резерве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color w:val="000000" w:themeColor="text1"/>
              </w:rPr>
            </w:pP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     1.000.000,00</w:t>
            </w: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360.000,00   (1)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dashed" w:sz="12" w:space="0" w:color="000066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Ревалоризација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земљишта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Одгођена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обвеза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dashed" w:sz="12" w:space="0" w:color="000066"/>
              <w:right w:val="dashed" w:sz="12" w:space="0" w:color="000066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(1)         400.000,00</w:t>
            </w:r>
          </w:p>
        </w:tc>
        <w:tc>
          <w:tcPr>
            <w:tcW w:w="2097" w:type="dxa"/>
            <w:tcBorders>
              <w:top w:val="dashed" w:sz="12" w:space="0" w:color="000066"/>
              <w:left w:val="dashed" w:sz="12" w:space="0" w:color="000066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8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8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40.000,00   (1)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dashed" w:sz="12" w:space="0" w:color="000066"/>
            </w:tcBorders>
          </w:tcPr>
          <w:p w:rsidR="000108B5" w:rsidRPr="00985EDF" w:rsidRDefault="000108B5" w:rsidP="000F172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left w:val="dashed" w:sz="12" w:space="0" w:color="000066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0108B5" w:rsidRPr="00985EDF" w:rsidRDefault="007D77B0" w:rsidP="000108B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highlight w:val="cyan"/>
        </w:rPr>
        <w:t>Остала</w:t>
      </w:r>
      <w:r w:rsidR="000108B5" w:rsidRPr="00985EDF">
        <w:rPr>
          <w:b/>
          <w:color w:val="000000" w:themeColor="text1"/>
          <w:highlight w:val="cyan"/>
        </w:rPr>
        <w:t xml:space="preserve"> </w:t>
      </w:r>
      <w:r>
        <w:rPr>
          <w:b/>
          <w:color w:val="000000" w:themeColor="text1"/>
          <w:highlight w:val="cyan"/>
        </w:rPr>
        <w:t>свеобухватна</w:t>
      </w:r>
      <w:r w:rsidR="000108B5" w:rsidRPr="00985EDF">
        <w:rPr>
          <w:b/>
          <w:color w:val="000000" w:themeColor="text1"/>
          <w:highlight w:val="cyan"/>
        </w:rPr>
        <w:t xml:space="preserve"> </w:t>
      </w:r>
      <w:r>
        <w:rPr>
          <w:b/>
          <w:color w:val="000000" w:themeColor="text1"/>
          <w:highlight w:val="cyan"/>
        </w:rPr>
        <w:t>добит</w:t>
      </w:r>
    </w:p>
    <w:tbl>
      <w:tblPr>
        <w:tblW w:w="5972" w:type="dxa"/>
        <w:jc w:val="center"/>
        <w:tblInd w:w="1619" w:type="dxa"/>
        <w:tblLook w:val="04A0"/>
      </w:tblPr>
      <w:tblGrid>
        <w:gridCol w:w="4253"/>
        <w:gridCol w:w="236"/>
        <w:gridCol w:w="1247"/>
        <w:gridCol w:w="236"/>
      </w:tblGrid>
      <w:tr w:rsidR="000108B5" w:rsidRPr="00985EDF" w:rsidTr="000F1720">
        <w:trPr>
          <w:jc w:val="center"/>
        </w:trPr>
        <w:tc>
          <w:tcPr>
            <w:tcW w:w="4253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Ревалоризацијски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добитак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>400.000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4253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Порез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bottom w:val="single" w:sz="4" w:space="0" w:color="000066"/>
            </w:tcBorders>
            <w:shd w:val="clear" w:color="auto" w:fill="DAEEF3"/>
            <w:vAlign w:val="center"/>
          </w:tcPr>
          <w:p w:rsidR="000108B5" w:rsidRPr="00985EDF" w:rsidRDefault="000108B5" w:rsidP="000F1720">
            <w:pPr>
              <w:ind w:right="-57"/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>(40.000)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4253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Остала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свеобухватна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послије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пореза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66"/>
              <w:bottom w:val="single" w:sz="4" w:space="0" w:color="000066"/>
            </w:tcBorders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>360.000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</w:tbl>
    <w:p w:rsidR="000108B5" w:rsidRPr="00985EDF" w:rsidRDefault="000108B5" w:rsidP="000108B5">
      <w:pPr>
        <w:ind w:right="671"/>
        <w:rPr>
          <w:color w:val="000000" w:themeColor="text1"/>
        </w:rPr>
      </w:pPr>
    </w:p>
    <w:p w:rsidR="000108B5" w:rsidRPr="00985EDF" w:rsidRDefault="007D77B0" w:rsidP="000108B5">
      <w:pPr>
        <w:numPr>
          <w:ilvl w:val="0"/>
          <w:numId w:val="26"/>
        </w:numPr>
        <w:ind w:left="357" w:hanging="357"/>
        <w:rPr>
          <w:color w:val="000000" w:themeColor="text1"/>
        </w:rPr>
      </w:pPr>
      <w:r>
        <w:rPr>
          <w:b/>
          <w:color w:val="000000" w:themeColor="text1"/>
        </w:rPr>
        <w:t>Продаја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земљишта</w:t>
      </w:r>
      <w:r w:rsidR="000108B5" w:rsidRPr="00985EDF">
        <w:rPr>
          <w:b/>
          <w:color w:val="000000" w:themeColor="text1"/>
        </w:rPr>
        <w:t xml:space="preserve"> 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  </w:t>
      </w:r>
      <w:r w:rsidR="000108B5" w:rsidRPr="00985EDF">
        <w:rPr>
          <w:color w:val="000000" w:themeColor="text1"/>
        </w:rPr>
        <w:t xml:space="preserve">(3 </w:t>
      </w:r>
      <w:r>
        <w:rPr>
          <w:color w:val="000000" w:themeColor="text1"/>
        </w:rPr>
        <w:t>бода</w:t>
      </w:r>
      <w:r w:rsidR="000108B5" w:rsidRPr="00985EDF">
        <w:rPr>
          <w:color w:val="000000" w:themeColor="text1"/>
        </w:rPr>
        <w:t>)</w:t>
      </w:r>
    </w:p>
    <w:tbl>
      <w:tblPr>
        <w:tblW w:w="9277" w:type="dxa"/>
        <w:jc w:val="center"/>
        <w:tblLook w:val="04A0"/>
      </w:tblPr>
      <w:tblGrid>
        <w:gridCol w:w="235"/>
        <w:gridCol w:w="2097"/>
        <w:gridCol w:w="2097"/>
        <w:gridCol w:w="397"/>
        <w:gridCol w:w="2097"/>
        <w:gridCol w:w="2097"/>
        <w:gridCol w:w="257"/>
      </w:tblGrid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Грађевинско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земљиште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Ревалоризацијске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резерве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color w:val="000000" w:themeColor="text1"/>
              </w:rPr>
            </w:pP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     1.000.000,00</w:t>
            </w: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1.000.000,00   (2)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 xml:space="preserve">360.000,00  </w:t>
            </w: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dashed" w:sz="12" w:space="0" w:color="000066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Ревалоризација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земљишта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Одгођена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обвеза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dashed" w:sz="12" w:space="0" w:color="000066"/>
              <w:right w:val="dashed" w:sz="12" w:space="0" w:color="000066"/>
            </w:tcBorders>
          </w:tcPr>
          <w:p w:rsidR="000108B5" w:rsidRPr="00985EDF" w:rsidRDefault="000108B5" w:rsidP="000F1720">
            <w:pPr>
              <w:jc w:val="right"/>
              <w:rPr>
                <w:color w:val="000000" w:themeColor="text1"/>
              </w:rPr>
            </w:pP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        400.000,00</w:t>
            </w:r>
          </w:p>
        </w:tc>
        <w:tc>
          <w:tcPr>
            <w:tcW w:w="2097" w:type="dxa"/>
            <w:tcBorders>
              <w:top w:val="dashed" w:sz="12" w:space="0" w:color="000066"/>
              <w:left w:val="dashed" w:sz="12" w:space="0" w:color="000066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400.000,00   (2)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8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8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 xml:space="preserve">40.000,00  </w:t>
            </w: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dashed" w:sz="12" w:space="0" w:color="000066"/>
            </w:tcBorders>
          </w:tcPr>
          <w:p w:rsidR="000108B5" w:rsidRPr="00985EDF" w:rsidRDefault="000108B5" w:rsidP="000F172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left w:val="dashed" w:sz="12" w:space="0" w:color="000066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Купци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некретнина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(2)      1.400.000,00</w:t>
            </w: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0108B5" w:rsidRPr="00985EDF" w:rsidRDefault="007D77B0" w:rsidP="000108B5">
      <w:pPr>
        <w:numPr>
          <w:ilvl w:val="0"/>
          <w:numId w:val="26"/>
        </w:numPr>
        <w:ind w:left="357" w:hanging="357"/>
        <w:rPr>
          <w:color w:val="000000" w:themeColor="text1"/>
        </w:rPr>
      </w:pPr>
      <w:r>
        <w:rPr>
          <w:b/>
          <w:color w:val="000000" w:themeColor="text1"/>
        </w:rPr>
        <w:t>Обрачун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пореза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добит</w:t>
      </w:r>
      <w:r w:rsidR="000108B5" w:rsidRPr="00985EDF">
        <w:rPr>
          <w:b/>
          <w:color w:val="000000" w:themeColor="text1"/>
        </w:rPr>
        <w:t xml:space="preserve"> 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  </w:t>
      </w:r>
      <w:r w:rsidR="000108B5" w:rsidRPr="00985EDF">
        <w:rPr>
          <w:color w:val="000000" w:themeColor="text1"/>
        </w:rPr>
        <w:t xml:space="preserve">(3 </w:t>
      </w:r>
      <w:r>
        <w:rPr>
          <w:color w:val="000000" w:themeColor="text1"/>
        </w:rPr>
        <w:t>бода</w:t>
      </w:r>
      <w:r w:rsidR="000108B5" w:rsidRPr="00985EDF">
        <w:rPr>
          <w:color w:val="000000" w:themeColor="text1"/>
        </w:rPr>
        <w:t>)</w:t>
      </w:r>
    </w:p>
    <w:p w:rsidR="000108B5" w:rsidRPr="00985EDF" w:rsidRDefault="007D77B0" w:rsidP="000108B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highlight w:val="cyan"/>
        </w:rPr>
        <w:t>Порезни</w:t>
      </w:r>
      <w:r w:rsidR="000108B5" w:rsidRPr="00985EDF">
        <w:rPr>
          <w:b/>
          <w:color w:val="000000" w:themeColor="text1"/>
          <w:highlight w:val="cyan"/>
        </w:rPr>
        <w:t xml:space="preserve"> </w:t>
      </w:r>
      <w:r>
        <w:rPr>
          <w:b/>
          <w:color w:val="000000" w:themeColor="text1"/>
          <w:highlight w:val="cyan"/>
        </w:rPr>
        <w:t>биланс</w:t>
      </w:r>
    </w:p>
    <w:tbl>
      <w:tblPr>
        <w:tblW w:w="6686" w:type="dxa"/>
        <w:jc w:val="center"/>
        <w:tblInd w:w="905" w:type="dxa"/>
        <w:tblLook w:val="04A0"/>
      </w:tblPr>
      <w:tblGrid>
        <w:gridCol w:w="4967"/>
        <w:gridCol w:w="236"/>
        <w:gridCol w:w="1247"/>
        <w:gridCol w:w="236"/>
      </w:tblGrid>
      <w:tr w:rsidR="000108B5" w:rsidRPr="00985EDF" w:rsidTr="000F1720">
        <w:trPr>
          <w:jc w:val="center"/>
        </w:trPr>
        <w:tc>
          <w:tcPr>
            <w:tcW w:w="4967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пореза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>700.000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4967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Капитални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добици</w:t>
            </w:r>
            <w:r w:rsidR="000108B5" w:rsidRPr="00985EDF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реализиране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ревалоризације</w:t>
            </w:r>
            <w:r w:rsidR="000108B5" w:rsidRPr="00985EDF">
              <w:rPr>
                <w:bCs/>
                <w:color w:val="000000" w:themeColor="text1"/>
              </w:rPr>
              <w:t>)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bottom w:val="single" w:sz="4" w:space="0" w:color="002060"/>
            </w:tcBorders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>400.000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4967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Основица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2060"/>
            </w:tcBorders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>1.100.000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4967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ПОРЕЗ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(10%)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bottom w:val="single" w:sz="4" w:space="0" w:color="000066"/>
            </w:tcBorders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110.000</w:t>
            </w:r>
          </w:p>
        </w:tc>
        <w:tc>
          <w:tcPr>
            <w:tcW w:w="236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</w:p>
        </w:tc>
      </w:tr>
    </w:tbl>
    <w:p w:rsidR="000108B5" w:rsidRPr="00985EDF" w:rsidRDefault="007D77B0" w:rsidP="000108B5">
      <w:pPr>
        <w:numPr>
          <w:ilvl w:val="0"/>
          <w:numId w:val="26"/>
        </w:numPr>
        <w:ind w:left="357" w:hanging="357"/>
        <w:rPr>
          <w:color w:val="000000" w:themeColor="text1"/>
        </w:rPr>
      </w:pPr>
      <w:r>
        <w:rPr>
          <w:b/>
          <w:color w:val="000000" w:themeColor="text1"/>
        </w:rPr>
        <w:t>Књижење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пореза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на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добит</w:t>
      </w:r>
      <w:r w:rsidR="000108B5" w:rsidRPr="00985EDF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пријеноса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резерви</w:t>
      </w:r>
      <w:r w:rsidR="000108B5" w:rsidRPr="00985EDF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укидања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одгођене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порезне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обвезе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обрачуна</w:t>
      </w:r>
      <w:r w:rsidR="000108B5" w:rsidRPr="00985ED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резултата</w:t>
      </w:r>
      <w:r w:rsidR="000108B5" w:rsidRPr="00985EDF">
        <w:rPr>
          <w:b/>
          <w:color w:val="000000" w:themeColor="text1"/>
        </w:rPr>
        <w:t xml:space="preserve"> 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            </w:t>
      </w:r>
      <w:r w:rsidR="000108B5" w:rsidRPr="00985EDF">
        <w:rPr>
          <w:color w:val="000000" w:themeColor="text1"/>
        </w:rPr>
        <w:t xml:space="preserve">(9 </w:t>
      </w:r>
      <w:r>
        <w:rPr>
          <w:color w:val="000000" w:themeColor="text1"/>
        </w:rPr>
        <w:t>бодова</w:t>
      </w:r>
      <w:r w:rsidR="000108B5" w:rsidRPr="00985EDF">
        <w:rPr>
          <w:color w:val="000000" w:themeColor="text1"/>
        </w:rPr>
        <w:t>)</w:t>
      </w:r>
    </w:p>
    <w:tbl>
      <w:tblPr>
        <w:tblW w:w="9277" w:type="dxa"/>
        <w:jc w:val="center"/>
        <w:tblLook w:val="04A0"/>
      </w:tblPr>
      <w:tblGrid>
        <w:gridCol w:w="235"/>
        <w:gridCol w:w="2097"/>
        <w:gridCol w:w="2097"/>
        <w:gridCol w:w="397"/>
        <w:gridCol w:w="2097"/>
        <w:gridCol w:w="2097"/>
        <w:gridCol w:w="257"/>
      </w:tblGrid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</w:tcPr>
          <w:p w:rsidR="000108B5" w:rsidRPr="00985EDF" w:rsidRDefault="007D77B0" w:rsidP="000F1720">
            <w:pPr>
              <w:rPr>
                <w:b/>
                <w:bCs/>
                <w:i/>
                <w:color w:val="000000" w:themeColor="text1"/>
                <w:u w:val="single"/>
              </w:rPr>
            </w:pPr>
            <w:r>
              <w:rPr>
                <w:b/>
                <w:bCs/>
                <w:i/>
                <w:color w:val="000000" w:themeColor="text1"/>
                <w:u w:val="single"/>
              </w:rPr>
              <w:t>Обрачун</w:t>
            </w:r>
            <w:r w:rsidR="000108B5" w:rsidRPr="00985EDF">
              <w:rPr>
                <w:b/>
                <w:bCs/>
                <w:i/>
                <w:color w:val="000000" w:themeColor="text1"/>
                <w:u w:val="single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u w:val="single"/>
              </w:rPr>
              <w:t>резултата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</w:tcPr>
          <w:p w:rsidR="000108B5" w:rsidRPr="00985EDF" w:rsidRDefault="007D77B0" w:rsidP="000F1720">
            <w:pPr>
              <w:rPr>
                <w:b/>
                <w:bCs/>
                <w:i/>
                <w:color w:val="000000" w:themeColor="text1"/>
                <w:u w:val="single"/>
              </w:rPr>
            </w:pPr>
            <w:r>
              <w:rPr>
                <w:b/>
                <w:bCs/>
                <w:i/>
                <w:color w:val="000000" w:themeColor="text1"/>
                <w:u w:val="single"/>
              </w:rPr>
              <w:t>Обвезе</w:t>
            </w:r>
            <w:r w:rsidR="000108B5" w:rsidRPr="00985EDF">
              <w:rPr>
                <w:b/>
                <w:bCs/>
                <w:i/>
                <w:color w:val="000000" w:themeColor="text1"/>
                <w:u w:val="single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u w:val="single"/>
              </w:rPr>
              <w:t>и</w:t>
            </w:r>
            <w:r w:rsidR="000108B5" w:rsidRPr="00985EDF">
              <w:rPr>
                <w:b/>
                <w:bCs/>
                <w:i/>
                <w:color w:val="000000" w:themeColor="text1"/>
                <w:u w:val="single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u w:val="single"/>
              </w:rPr>
              <w:t>капитал</w:t>
            </w:r>
            <w:r w:rsidR="000108B5" w:rsidRPr="00985EDF">
              <w:rPr>
                <w:b/>
                <w:bCs/>
                <w:i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пореза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Текућа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обвеза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(5)         700.000,00</w:t>
            </w: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tabs>
                <w:tab w:val="left" w:pos="1276"/>
              </w:tabs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 xml:space="preserve">700.000,00   </w:t>
            </w:r>
            <w:r w:rsidRPr="00985EDF">
              <w:rPr>
                <w:color w:val="000000" w:themeColor="text1"/>
              </w:rPr>
              <w:t>(</w:t>
            </w:r>
            <w:r w:rsidRPr="00985EDF">
              <w:rPr>
                <w:b/>
                <w:color w:val="000000" w:themeColor="text1"/>
              </w:rPr>
              <w:t>X</w:t>
            </w:r>
            <w:r w:rsidRPr="00985EDF">
              <w:rPr>
                <w:color w:val="000000" w:themeColor="text1"/>
              </w:rPr>
              <w:t>)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110.000,00   (3)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Порез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Одгођена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порезна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обвеза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12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(3)         110.000,00</w:t>
            </w:r>
          </w:p>
        </w:tc>
        <w:tc>
          <w:tcPr>
            <w:tcW w:w="2097" w:type="dxa"/>
            <w:tcBorders>
              <w:top w:val="single" w:sz="12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70.000,00   (5)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8" w:space="0" w:color="002060"/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(4</w:t>
            </w:r>
            <w:r w:rsidR="007D77B0">
              <w:rPr>
                <w:b/>
                <w:color w:val="000000" w:themeColor="text1"/>
              </w:rPr>
              <w:t>б</w:t>
            </w:r>
            <w:r w:rsidRPr="00985EDF">
              <w:rPr>
                <w:b/>
                <w:color w:val="000000" w:themeColor="text1"/>
              </w:rPr>
              <w:t>)         40.000,00</w:t>
            </w:r>
          </w:p>
        </w:tc>
        <w:tc>
          <w:tcPr>
            <w:tcW w:w="2097" w:type="dxa"/>
            <w:tcBorders>
              <w:top w:val="single" w:sz="8" w:space="0" w:color="002060"/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 xml:space="preserve">40.000,00  </w:t>
            </w: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(4</w:t>
            </w:r>
            <w:r w:rsidR="007D77B0">
              <w:rPr>
                <w:b/>
                <w:color w:val="000000" w:themeColor="text1"/>
              </w:rPr>
              <w:t>б</w:t>
            </w:r>
            <w:r w:rsidRPr="00985EDF">
              <w:rPr>
                <w:b/>
                <w:color w:val="000000" w:themeColor="text1"/>
              </w:rPr>
              <w:t>)       –40.000,00</w:t>
            </w: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</w:tcPr>
          <w:p w:rsidR="000108B5" w:rsidRPr="00985EDF" w:rsidRDefault="000108B5" w:rsidP="000F1720">
            <w:pPr>
              <w:tabs>
                <w:tab w:val="left" w:pos="3347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Ревалоризацијске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резерве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shd w:val="clear" w:color="auto" w:fill="92CDDC"/>
            <w:vAlign w:val="center"/>
          </w:tcPr>
          <w:p w:rsidR="000108B5" w:rsidRPr="00985EDF" w:rsidRDefault="007D77B0" w:rsidP="000F17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Извјештај</w:t>
            </w:r>
            <w:r w:rsidR="000108B5" w:rsidRPr="00985EDF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</w:t>
            </w:r>
            <w:r w:rsidR="000108B5" w:rsidRPr="00985EDF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добити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  <w:r w:rsidRPr="00985EDF">
              <w:rPr>
                <w:b/>
                <w:color w:val="000000" w:themeColor="text1"/>
              </w:rPr>
              <w:t>(4</w:t>
            </w:r>
            <w:r w:rsidR="007D77B0">
              <w:rPr>
                <w:b/>
                <w:color w:val="000000" w:themeColor="text1"/>
              </w:rPr>
              <w:t>а</w:t>
            </w:r>
            <w:r w:rsidRPr="00985EDF">
              <w:rPr>
                <w:b/>
                <w:color w:val="000000" w:themeColor="text1"/>
              </w:rPr>
              <w:t>)       360.000,00</w:t>
            </w: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Cs/>
                <w:color w:val="000000" w:themeColor="text1"/>
              </w:rPr>
            </w:pPr>
            <w:r w:rsidRPr="00985EDF">
              <w:rPr>
                <w:bCs/>
                <w:color w:val="000000" w:themeColor="text1"/>
              </w:rPr>
              <w:t xml:space="preserve">360.000,00  </w:t>
            </w:r>
            <w:r w:rsidRPr="00985EDF">
              <w:rPr>
                <w:color w:val="000000" w:themeColor="text1"/>
              </w:rPr>
              <w:t>(</w:t>
            </w:r>
            <w:r w:rsidR="007D77B0">
              <w:rPr>
                <w:color w:val="000000" w:themeColor="text1"/>
              </w:rPr>
              <w:t>С</w:t>
            </w:r>
            <w:r w:rsidR="007D77B0">
              <w:rPr>
                <w:color w:val="000000" w:themeColor="text1"/>
                <w:u w:val="single"/>
                <w:vertAlign w:val="superscript"/>
              </w:rPr>
              <w:t>о</w:t>
            </w:r>
            <w:r w:rsidRPr="00985EDF">
              <w:rPr>
                <w:color w:val="000000" w:themeColor="text1"/>
              </w:rPr>
              <w:t>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  <w:vMerge w:val="restart"/>
            <w:vAlign w:val="bottom"/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vMerge w:val="restart"/>
            <w:shd w:val="clear" w:color="auto" w:fill="DAEEF3"/>
            <w:vAlign w:val="bottom"/>
          </w:tcPr>
          <w:p w:rsidR="000108B5" w:rsidRPr="00985EDF" w:rsidRDefault="007D77B0" w:rsidP="000F172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Добит</w:t>
            </w:r>
            <w:r w:rsidR="000108B5" w:rsidRPr="00985EDF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прије</w:t>
            </w:r>
            <w:r w:rsidR="000108B5" w:rsidRPr="00985EDF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пореза</w:t>
            </w:r>
          </w:p>
        </w:tc>
        <w:tc>
          <w:tcPr>
            <w:tcW w:w="2097" w:type="dxa"/>
            <w:vMerge w:val="restart"/>
            <w:shd w:val="clear" w:color="auto" w:fill="DAEEF3"/>
            <w:vAlign w:val="bottom"/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700.000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  <w:vMerge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vMerge/>
            <w:shd w:val="clear" w:color="auto" w:fill="DAEEF3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vMerge/>
            <w:shd w:val="clear" w:color="auto" w:fill="DAEEF3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97" w:type="dxa"/>
            <w:shd w:val="clear" w:color="auto" w:fill="DAEEF3"/>
            <w:vAlign w:val="center"/>
          </w:tcPr>
          <w:p w:rsidR="000108B5" w:rsidRPr="00985EDF" w:rsidRDefault="007D77B0" w:rsidP="000F172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Порез</w:t>
            </w:r>
            <w:r w:rsidR="000108B5" w:rsidRPr="00985EDF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</w:t>
            </w:r>
            <w:r w:rsidR="000108B5" w:rsidRPr="00985EDF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добит</w:t>
            </w:r>
          </w:p>
        </w:tc>
        <w:tc>
          <w:tcPr>
            <w:tcW w:w="2097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70.000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0F172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Задржана</w:t>
            </w:r>
            <w:r w:rsidR="000108B5" w:rsidRPr="00985EDF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акумулирана</w:t>
            </w:r>
            <w:r w:rsidR="000108B5" w:rsidRPr="00985EDF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shd w:val="clear" w:color="auto" w:fill="DAEEF3"/>
            <w:vAlign w:val="bottom"/>
          </w:tcPr>
          <w:p w:rsidR="000108B5" w:rsidRPr="00985EDF" w:rsidRDefault="007D77B0" w:rsidP="000F17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Нето</w:t>
            </w:r>
            <w:r w:rsidR="000108B5" w:rsidRPr="00985EDF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добит</w:t>
            </w:r>
          </w:p>
        </w:tc>
        <w:tc>
          <w:tcPr>
            <w:tcW w:w="2097" w:type="dxa"/>
            <w:shd w:val="clear" w:color="auto" w:fill="DAEEF3"/>
            <w:vAlign w:val="center"/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630.000</w:t>
            </w: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tabs>
                <w:tab w:val="left" w:pos="1249"/>
              </w:tabs>
              <w:ind w:right="-28"/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360.000,00  (4</w:t>
            </w:r>
            <w:r w:rsidR="007D77B0">
              <w:rPr>
                <w:b/>
                <w:bCs/>
                <w:color w:val="000000" w:themeColor="text1"/>
              </w:rPr>
              <w:t>а</w:t>
            </w:r>
            <w:r w:rsidRPr="00985EDF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194" w:type="dxa"/>
            <w:gridSpan w:val="2"/>
            <w:tcBorders>
              <w:bottom w:val="single" w:sz="12" w:space="0" w:color="002060"/>
            </w:tcBorders>
          </w:tcPr>
          <w:p w:rsidR="000108B5" w:rsidRPr="00985EDF" w:rsidRDefault="007D77B0" w:rsidP="00BC4B6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</w:t>
            </w:r>
            <w:r w:rsidR="00BC4B68">
              <w:rPr>
                <w:bCs/>
                <w:color w:val="000000" w:themeColor="text1"/>
                <w:lang/>
              </w:rPr>
              <w:t>с</w:t>
            </w:r>
            <w:r>
              <w:rPr>
                <w:bCs/>
                <w:color w:val="000000" w:themeColor="text1"/>
              </w:rPr>
              <w:t>ијске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године</w:t>
            </w:r>
            <w:r w:rsidR="000108B5" w:rsidRPr="00985EDF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нето</w:t>
            </w:r>
            <w:r w:rsidR="000108B5" w:rsidRPr="00985EDF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добит</w:t>
            </w:r>
            <w:r w:rsidR="000108B5" w:rsidRPr="00985EDF">
              <w:rPr>
                <w:bCs/>
                <w:color w:val="000000" w:themeColor="text1"/>
              </w:rPr>
              <w:t>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right"/>
              <w:rPr>
                <w:b/>
                <w:bCs/>
                <w:color w:val="000000" w:themeColor="text1"/>
              </w:rPr>
            </w:pPr>
            <w:r w:rsidRPr="00985EDF">
              <w:rPr>
                <w:b/>
                <w:bCs/>
                <w:color w:val="000000" w:themeColor="text1"/>
              </w:rPr>
              <w:t>630.000,00   (5)</w:t>
            </w: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righ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  <w:tcBorders>
              <w:left w:val="single" w:sz="12" w:space="0" w:color="002060"/>
            </w:tcBorders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108B5" w:rsidRPr="00985EDF" w:rsidTr="000F1720">
        <w:trPr>
          <w:jc w:val="center"/>
        </w:trPr>
        <w:tc>
          <w:tcPr>
            <w:tcW w:w="235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" w:type="dxa"/>
          </w:tcPr>
          <w:p w:rsidR="000108B5" w:rsidRPr="00985EDF" w:rsidRDefault="000108B5" w:rsidP="000F17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0108B5" w:rsidRPr="00985EDF" w:rsidRDefault="007D77B0" w:rsidP="000108B5">
      <w:pPr>
        <w:numPr>
          <w:ilvl w:val="0"/>
          <w:numId w:val="26"/>
        </w:numPr>
        <w:ind w:left="357" w:hanging="357"/>
        <w:rPr>
          <w:color w:val="000000" w:themeColor="text1"/>
        </w:rPr>
      </w:pPr>
      <w:r>
        <w:rPr>
          <w:b/>
          <w:bCs/>
          <w:color w:val="000000" w:themeColor="text1"/>
        </w:rPr>
        <w:t>Рачуноводствени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обухват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продаје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ревалоризиране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дуготрајне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имовине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која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не</w:t>
      </w:r>
      <w:r w:rsidR="000108B5" w:rsidRPr="00985ED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амортизира</w:t>
      </w:r>
      <w:r w:rsidR="000108B5" w:rsidRPr="00985EDF">
        <w:rPr>
          <w:b/>
          <w:color w:val="000000" w:themeColor="text1"/>
        </w:rPr>
        <w:t xml:space="preserve"> 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</w:t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</w:r>
      <w:r w:rsidR="000108B5" w:rsidRPr="00985EDF">
        <w:rPr>
          <w:b/>
          <w:color w:val="000000" w:themeColor="text1"/>
        </w:rPr>
        <w:tab/>
        <w:t xml:space="preserve">   </w:t>
      </w:r>
      <w:r w:rsidR="000108B5" w:rsidRPr="00985EDF">
        <w:rPr>
          <w:b/>
          <w:color w:val="000000" w:themeColor="text1"/>
        </w:rPr>
        <w:tab/>
        <w:t xml:space="preserve">           </w:t>
      </w:r>
      <w:r w:rsidR="000108B5" w:rsidRPr="00985EDF">
        <w:rPr>
          <w:color w:val="000000" w:themeColor="text1"/>
        </w:rPr>
        <w:t xml:space="preserve">(10 </w:t>
      </w:r>
      <w:r>
        <w:rPr>
          <w:color w:val="000000" w:themeColor="text1"/>
        </w:rPr>
        <w:t>бодова</w:t>
      </w:r>
      <w:r w:rsidR="000108B5" w:rsidRPr="00985EDF">
        <w:rPr>
          <w:color w:val="000000" w:themeColor="text1"/>
        </w:rPr>
        <w:t>)</w:t>
      </w:r>
    </w:p>
    <w:p w:rsidR="000108B5" w:rsidRPr="00985EDF" w:rsidRDefault="007D77B0" w:rsidP="000108B5">
      <w:pPr>
        <w:numPr>
          <w:ilvl w:val="0"/>
          <w:numId w:val="28"/>
        </w:numPr>
        <w:shd w:val="clear" w:color="auto" w:fill="DAEEF3"/>
        <w:ind w:left="357" w:hanging="357"/>
        <w:jc w:val="both"/>
        <w:rPr>
          <w:color w:val="000000" w:themeColor="text1"/>
        </w:rPr>
      </w:pPr>
      <w:r>
        <w:rPr>
          <w:bCs/>
          <w:color w:val="000000" w:themeColor="text1"/>
        </w:rPr>
        <w:lastRenderedPageBreak/>
        <w:t>Ако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дуготрајна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имовина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амортизира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испод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књиговодствене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била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ревалоризације</w:t>
      </w:r>
      <w:r w:rsidR="000108B5" w:rsidRPr="00985EDF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читав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ревалоризацијски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вишак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поништава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уклања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из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капитала</w:t>
      </w:r>
      <w:r w:rsidR="000108B5" w:rsidRPr="00985EDF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ревалоризацијских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резерви</w:t>
      </w:r>
      <w:r w:rsidR="000108B5" w:rsidRPr="00985EDF">
        <w:rPr>
          <w:bCs/>
          <w:color w:val="000000" w:themeColor="text1"/>
        </w:rPr>
        <w:t xml:space="preserve">) </w:t>
      </w:r>
      <w:r>
        <w:rPr>
          <w:bCs/>
          <w:color w:val="000000" w:themeColor="text1"/>
        </w:rPr>
        <w:t>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одгођених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порезних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обвеза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стварни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губитак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признаје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добит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или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губитак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раздобља</w:t>
      </w:r>
      <w:r w:rsidR="000108B5" w:rsidRPr="00985EDF">
        <w:rPr>
          <w:bCs/>
          <w:color w:val="000000" w:themeColor="text1"/>
        </w:rPr>
        <w:t>.</w:t>
      </w:r>
    </w:p>
    <w:p w:rsidR="000108B5" w:rsidRPr="00985EDF" w:rsidRDefault="007D77B0" w:rsidP="000108B5">
      <w:pPr>
        <w:numPr>
          <w:ilvl w:val="0"/>
          <w:numId w:val="28"/>
        </w:numPr>
        <w:shd w:val="clear" w:color="auto" w:fill="DAEEF3"/>
        <w:ind w:left="357" w:hanging="357"/>
        <w:jc w:val="both"/>
        <w:rPr>
          <w:color w:val="000000" w:themeColor="text1"/>
        </w:rPr>
      </w:pPr>
      <w:r>
        <w:rPr>
          <w:bCs/>
          <w:color w:val="000000" w:themeColor="text1"/>
        </w:rPr>
        <w:t>Ако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дуготрајна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имовина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амортизира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прода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цијени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прекорачује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њену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</w:t>
      </w:r>
      <w:r w:rsidR="000108B5" w:rsidRPr="00985EDF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ревалоризацијски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вишак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умањен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порез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добит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преноси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изравно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задржану</w:t>
      </w:r>
      <w:r w:rsidR="000108B5" w:rsidRPr="00985EDF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акумулирану</w:t>
      </w:r>
      <w:r w:rsidR="000108B5" w:rsidRPr="00985EDF">
        <w:rPr>
          <w:bCs/>
          <w:color w:val="000000" w:themeColor="text1"/>
        </w:rPr>
        <w:t xml:space="preserve">) </w:t>
      </w:r>
      <w:r>
        <w:rPr>
          <w:bCs/>
          <w:color w:val="000000" w:themeColor="text1"/>
        </w:rPr>
        <w:t>добит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дио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цијене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који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прекорачује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ревалоризирану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вриједност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признаје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добитак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раздобља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због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тога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што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није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био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приказан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</w:t>
      </w:r>
      <w:r w:rsidR="000108B5" w:rsidRPr="00985E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капиталу</w:t>
      </w:r>
      <w:r w:rsidR="000108B5" w:rsidRPr="00985EDF">
        <w:rPr>
          <w:bCs/>
          <w:color w:val="000000" w:themeColor="text1"/>
        </w:rPr>
        <w:t>.</w:t>
      </w:r>
    </w:p>
    <w:p w:rsidR="000108B5" w:rsidRPr="00985EDF" w:rsidRDefault="000108B5" w:rsidP="00075003">
      <w:pPr>
        <w:jc w:val="both"/>
        <w:rPr>
          <w:b/>
          <w:color w:val="000000" w:themeColor="text1"/>
          <w:lang w:val="bs-Latn-BA"/>
        </w:rPr>
      </w:pPr>
    </w:p>
    <w:sectPr w:rsidR="000108B5" w:rsidRPr="00985EDF" w:rsidSect="00A67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C5E" w:rsidRDefault="00045C5E">
      <w:r>
        <w:separator/>
      </w:r>
    </w:p>
  </w:endnote>
  <w:endnote w:type="continuationSeparator" w:id="0">
    <w:p w:rsidR="00045C5E" w:rsidRDefault="0004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03" w:rsidRDefault="001971F7" w:rsidP="005F4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50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5003" w:rsidRDefault="00075003" w:rsidP="002A02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003" w:rsidRDefault="001971F7" w:rsidP="005F4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50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B68">
      <w:rPr>
        <w:rStyle w:val="PageNumber"/>
        <w:noProof/>
      </w:rPr>
      <w:t>7</w:t>
    </w:r>
    <w:r>
      <w:rPr>
        <w:rStyle w:val="PageNumber"/>
      </w:rPr>
      <w:fldChar w:fldCharType="end"/>
    </w:r>
  </w:p>
  <w:p w:rsidR="00075003" w:rsidRDefault="00075003" w:rsidP="002A02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8" w:rsidRDefault="00556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C5E" w:rsidRDefault="00045C5E">
      <w:r>
        <w:separator/>
      </w:r>
    </w:p>
  </w:footnote>
  <w:footnote w:type="continuationSeparator" w:id="0">
    <w:p w:rsidR="00045C5E" w:rsidRDefault="00045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8" w:rsidRDefault="005568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8" w:rsidRDefault="005568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8" w:rsidRDefault="005568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CF3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454273"/>
    <w:multiLevelType w:val="hybridMultilevel"/>
    <w:tmpl w:val="DE284D8E"/>
    <w:lvl w:ilvl="0" w:tplc="C0C6195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C4BEB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A542A4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BF450B"/>
    <w:multiLevelType w:val="hybridMultilevel"/>
    <w:tmpl w:val="D2CEC7A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38203F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37F66F2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B2E2BEB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EA24864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463C9A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0B72245"/>
    <w:multiLevelType w:val="hybridMultilevel"/>
    <w:tmpl w:val="287EC2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4667A1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353183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F1279D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13141A8"/>
    <w:multiLevelType w:val="hybridMultilevel"/>
    <w:tmpl w:val="F7F2BC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5617C"/>
    <w:multiLevelType w:val="hybridMultilevel"/>
    <w:tmpl w:val="698CA6F8"/>
    <w:lvl w:ilvl="0" w:tplc="E28CB1B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6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244E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AD10918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0424AE5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69F67D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0491B24"/>
    <w:multiLevelType w:val="hybridMultilevel"/>
    <w:tmpl w:val="FFDE7B44"/>
    <w:lvl w:ilvl="0" w:tplc="A8D46B2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61A8344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6354F7D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81E1EC9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EBE382E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6DF16D6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BB82419"/>
    <w:multiLevelType w:val="hybridMultilevel"/>
    <w:tmpl w:val="D84A4F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601D5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CFA4E6F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16"/>
  </w:num>
  <w:num w:numId="5">
    <w:abstractNumId w:val="2"/>
  </w:num>
  <w:num w:numId="6">
    <w:abstractNumId w:val="11"/>
  </w:num>
  <w:num w:numId="7">
    <w:abstractNumId w:val="17"/>
  </w:num>
  <w:num w:numId="8">
    <w:abstractNumId w:val="5"/>
  </w:num>
  <w:num w:numId="9">
    <w:abstractNumId w:val="13"/>
  </w:num>
  <w:num w:numId="10">
    <w:abstractNumId w:val="22"/>
  </w:num>
  <w:num w:numId="11">
    <w:abstractNumId w:val="8"/>
  </w:num>
  <w:num w:numId="12">
    <w:abstractNumId w:val="24"/>
  </w:num>
  <w:num w:numId="13">
    <w:abstractNumId w:val="28"/>
  </w:num>
  <w:num w:numId="14">
    <w:abstractNumId w:val="7"/>
  </w:num>
  <w:num w:numId="15">
    <w:abstractNumId w:val="6"/>
  </w:num>
  <w:num w:numId="16">
    <w:abstractNumId w:val="9"/>
  </w:num>
  <w:num w:numId="17">
    <w:abstractNumId w:val="3"/>
  </w:num>
  <w:num w:numId="18">
    <w:abstractNumId w:val="18"/>
  </w:num>
  <w:num w:numId="19">
    <w:abstractNumId w:val="27"/>
  </w:num>
  <w:num w:numId="20">
    <w:abstractNumId w:val="23"/>
  </w:num>
  <w:num w:numId="21">
    <w:abstractNumId w:val="12"/>
  </w:num>
  <w:num w:numId="22">
    <w:abstractNumId w:val="10"/>
  </w:num>
  <w:num w:numId="23">
    <w:abstractNumId w:val="4"/>
  </w:num>
  <w:num w:numId="24">
    <w:abstractNumId w:val="0"/>
  </w:num>
  <w:num w:numId="25">
    <w:abstractNumId w:val="26"/>
  </w:num>
  <w:num w:numId="26">
    <w:abstractNumId w:val="15"/>
  </w:num>
  <w:num w:numId="27">
    <w:abstractNumId w:val="20"/>
  </w:num>
  <w:num w:numId="28">
    <w:abstractNumId w:val="1"/>
  </w:num>
  <w:num w:numId="29">
    <w:abstractNumId w:val="2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F5D5A"/>
    <w:rsid w:val="0001080B"/>
    <w:rsid w:val="000108B5"/>
    <w:rsid w:val="00014DC4"/>
    <w:rsid w:val="00045C5E"/>
    <w:rsid w:val="000561BD"/>
    <w:rsid w:val="00072AF2"/>
    <w:rsid w:val="00075003"/>
    <w:rsid w:val="00082276"/>
    <w:rsid w:val="000B1CE1"/>
    <w:rsid w:val="000B5CBC"/>
    <w:rsid w:val="00134A56"/>
    <w:rsid w:val="0013608C"/>
    <w:rsid w:val="00185F8E"/>
    <w:rsid w:val="001971F7"/>
    <w:rsid w:val="001B0A1C"/>
    <w:rsid w:val="001B0D84"/>
    <w:rsid w:val="001F7273"/>
    <w:rsid w:val="002143DB"/>
    <w:rsid w:val="002470A6"/>
    <w:rsid w:val="002A026D"/>
    <w:rsid w:val="002A57AF"/>
    <w:rsid w:val="002B062B"/>
    <w:rsid w:val="00356AAC"/>
    <w:rsid w:val="003736F2"/>
    <w:rsid w:val="0038360E"/>
    <w:rsid w:val="003B503A"/>
    <w:rsid w:val="003D6FC3"/>
    <w:rsid w:val="00401551"/>
    <w:rsid w:val="00404A12"/>
    <w:rsid w:val="00431913"/>
    <w:rsid w:val="00445B50"/>
    <w:rsid w:val="0048102A"/>
    <w:rsid w:val="00483088"/>
    <w:rsid w:val="004C19B2"/>
    <w:rsid w:val="004E3CC9"/>
    <w:rsid w:val="004E5503"/>
    <w:rsid w:val="004F5B87"/>
    <w:rsid w:val="00545882"/>
    <w:rsid w:val="00555916"/>
    <w:rsid w:val="00556828"/>
    <w:rsid w:val="00593078"/>
    <w:rsid w:val="005D3111"/>
    <w:rsid w:val="005D3CEE"/>
    <w:rsid w:val="005F48CE"/>
    <w:rsid w:val="005F51B1"/>
    <w:rsid w:val="00610E81"/>
    <w:rsid w:val="006172FC"/>
    <w:rsid w:val="0064701C"/>
    <w:rsid w:val="006916EE"/>
    <w:rsid w:val="006956A7"/>
    <w:rsid w:val="00696ACF"/>
    <w:rsid w:val="00697900"/>
    <w:rsid w:val="006C38D4"/>
    <w:rsid w:val="006E60CF"/>
    <w:rsid w:val="007131C6"/>
    <w:rsid w:val="00713D3F"/>
    <w:rsid w:val="007755CE"/>
    <w:rsid w:val="007B19F2"/>
    <w:rsid w:val="007D6495"/>
    <w:rsid w:val="007D6BD2"/>
    <w:rsid w:val="007D77B0"/>
    <w:rsid w:val="007E095E"/>
    <w:rsid w:val="007E668A"/>
    <w:rsid w:val="007E74EF"/>
    <w:rsid w:val="00825191"/>
    <w:rsid w:val="00842FC6"/>
    <w:rsid w:val="00862438"/>
    <w:rsid w:val="00871A5B"/>
    <w:rsid w:val="00891A05"/>
    <w:rsid w:val="00892A23"/>
    <w:rsid w:val="008E2D01"/>
    <w:rsid w:val="008F4F21"/>
    <w:rsid w:val="00985EDF"/>
    <w:rsid w:val="009C1897"/>
    <w:rsid w:val="009E6BB7"/>
    <w:rsid w:val="009F0467"/>
    <w:rsid w:val="00A468A6"/>
    <w:rsid w:val="00A670CA"/>
    <w:rsid w:val="00AF44C8"/>
    <w:rsid w:val="00B107BA"/>
    <w:rsid w:val="00B2250D"/>
    <w:rsid w:val="00B33E6C"/>
    <w:rsid w:val="00B75155"/>
    <w:rsid w:val="00B8227E"/>
    <w:rsid w:val="00BC4B68"/>
    <w:rsid w:val="00C1778F"/>
    <w:rsid w:val="00C2412A"/>
    <w:rsid w:val="00C61008"/>
    <w:rsid w:val="00C7165C"/>
    <w:rsid w:val="00C76A36"/>
    <w:rsid w:val="00C83A68"/>
    <w:rsid w:val="00CA7822"/>
    <w:rsid w:val="00CF5D5A"/>
    <w:rsid w:val="00D00D9D"/>
    <w:rsid w:val="00D52CA7"/>
    <w:rsid w:val="00D826D6"/>
    <w:rsid w:val="00D924DA"/>
    <w:rsid w:val="00D92AC8"/>
    <w:rsid w:val="00DA55C9"/>
    <w:rsid w:val="00DC0C18"/>
    <w:rsid w:val="00DC6E2B"/>
    <w:rsid w:val="00E92E1E"/>
    <w:rsid w:val="00EB3566"/>
    <w:rsid w:val="00EC270C"/>
    <w:rsid w:val="00ED27DF"/>
    <w:rsid w:val="00EF047E"/>
    <w:rsid w:val="00F46CD7"/>
    <w:rsid w:val="00F646E7"/>
    <w:rsid w:val="00F83249"/>
    <w:rsid w:val="00FB2099"/>
    <w:rsid w:val="00FD1319"/>
    <w:rsid w:val="00FE24C2"/>
    <w:rsid w:val="00FF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5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odlomak">
    <w:name w:val="pododlomak"/>
    <w:rsid w:val="00CF5D5A"/>
    <w:pPr>
      <w:widowControl w:val="0"/>
      <w:tabs>
        <w:tab w:val="left" w:pos="907"/>
      </w:tabs>
      <w:autoSpaceDE w:val="0"/>
      <w:autoSpaceDN w:val="0"/>
      <w:adjustRightInd w:val="0"/>
      <w:spacing w:after="57" w:line="250" w:lineRule="atLeast"/>
      <w:ind w:left="907" w:hanging="340"/>
      <w:jc w:val="both"/>
    </w:pPr>
    <w:rPr>
      <w:rFonts w:ascii="Dotum" w:eastAsia="Dotum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A02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28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A026D"/>
    <w:rPr>
      <w:rFonts w:cs="Times New Roman"/>
    </w:rPr>
  </w:style>
  <w:style w:type="paragraph" w:styleId="NoSpacing">
    <w:name w:val="No Spacing"/>
    <w:qFormat/>
    <w:rsid w:val="00DC0C18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D6FC3"/>
    <w:pPr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semiHidden/>
    <w:unhideWhenUsed/>
    <w:rsid w:val="003D6FC3"/>
    <w:pPr>
      <w:spacing w:after="120"/>
    </w:pPr>
    <w:rPr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3D6FC3"/>
    <w:rPr>
      <w:rFonts w:ascii="Times New Roman" w:eastAsia="Times New Roman" w:hAnsi="Times New Roman"/>
      <w:sz w:val="28"/>
      <w:lang w:val="en-AU"/>
    </w:rPr>
  </w:style>
  <w:style w:type="table" w:styleId="TableGrid">
    <w:name w:val="Table Grid"/>
    <w:basedOn w:val="TableNormal"/>
    <w:locked/>
    <w:rsid w:val="003D6FC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68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8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6F932-E7F3-4842-9443-1AB46FDA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NADzDz</dc:creator>
  <cp:lastModifiedBy>Lenovo</cp:lastModifiedBy>
  <cp:revision>6</cp:revision>
  <dcterms:created xsi:type="dcterms:W3CDTF">2014-06-05T12:26:00Z</dcterms:created>
  <dcterms:modified xsi:type="dcterms:W3CDTF">2014-06-17T07:35:00Z</dcterms:modified>
</cp:coreProperties>
</file>