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1C" w:rsidRDefault="0064701C" w:rsidP="00483088">
      <w:pPr>
        <w:jc w:val="center"/>
        <w:rPr>
          <w:color w:val="000000"/>
          <w:sz w:val="28"/>
          <w:szCs w:val="28"/>
          <w:lang w:val="bs-Latn-BA"/>
        </w:rPr>
      </w:pPr>
      <w:r>
        <w:rPr>
          <w:color w:val="000000"/>
          <w:sz w:val="28"/>
          <w:szCs w:val="28"/>
          <w:lang w:val="bs-Latn-BA"/>
        </w:rPr>
        <w:t xml:space="preserve">КОМИСИЈА ЗА РАЧУНОВОДСТВО И РЕВИЗИЈУ </w:t>
      </w:r>
    </w:p>
    <w:p w:rsidR="0064701C" w:rsidRDefault="0064701C" w:rsidP="00862438">
      <w:pPr>
        <w:jc w:val="center"/>
        <w:rPr>
          <w:color w:val="000000"/>
          <w:sz w:val="28"/>
          <w:szCs w:val="28"/>
          <w:lang w:val="bs-Latn-BA"/>
        </w:rPr>
      </w:pPr>
      <w:r>
        <w:rPr>
          <w:color w:val="000000"/>
          <w:sz w:val="28"/>
          <w:szCs w:val="28"/>
          <w:lang w:val="bs-Latn-BA"/>
        </w:rPr>
        <w:t>БОСНЕ И ХЕРЦЕГОВИНЕ</w:t>
      </w:r>
    </w:p>
    <w:p w:rsidR="0064701C" w:rsidRDefault="0064701C" w:rsidP="00862438">
      <w:pPr>
        <w:jc w:val="center"/>
        <w:rPr>
          <w:b/>
          <w:color w:val="000000"/>
          <w:lang w:val="bs-Latn-BA"/>
        </w:rPr>
      </w:pPr>
    </w:p>
    <w:p w:rsidR="0064701C" w:rsidRDefault="0064701C" w:rsidP="00862438">
      <w:pPr>
        <w:jc w:val="center"/>
        <w:rPr>
          <w:color w:val="000000"/>
          <w:lang w:val="bs-Latn-BA"/>
        </w:rPr>
      </w:pPr>
      <w:r>
        <w:rPr>
          <w:color w:val="000000"/>
          <w:lang w:val="bs-Latn-BA"/>
        </w:rPr>
        <w:t>ИСПИТ ЗА СТИЦАЊЕ ПРОФЕСИОНАЛНОГ ЗВАЊА</w:t>
      </w:r>
    </w:p>
    <w:p w:rsidR="0064701C" w:rsidRDefault="0064701C" w:rsidP="00862438">
      <w:pPr>
        <w:jc w:val="center"/>
        <w:rPr>
          <w:b/>
          <w:color w:val="000000"/>
          <w:lang w:val="bs-Latn-BA"/>
        </w:rPr>
      </w:pPr>
      <w:r>
        <w:rPr>
          <w:b/>
          <w:color w:val="000000"/>
          <w:lang w:val="sr-Cyrl-CS"/>
        </w:rPr>
        <w:t>СЕРТИФИКОВАНИ</w:t>
      </w:r>
      <w:r>
        <w:rPr>
          <w:b/>
          <w:color w:val="000000"/>
          <w:lang w:val="bs-Latn-BA"/>
        </w:rPr>
        <w:t xml:space="preserve"> РАЧУНОВОЂА</w:t>
      </w:r>
    </w:p>
    <w:p w:rsidR="0064701C" w:rsidRDefault="0064701C" w:rsidP="00862438">
      <w:pPr>
        <w:jc w:val="center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(ИСПИТНИ ТЕРМИН: </w:t>
      </w:r>
      <w:r w:rsidR="00713D3F">
        <w:rPr>
          <w:color w:val="000000"/>
        </w:rPr>
        <w:t>MAJ</w:t>
      </w:r>
      <w:r>
        <w:rPr>
          <w:color w:val="000000"/>
        </w:rPr>
        <w:t xml:space="preserve"> </w:t>
      </w:r>
      <w:r>
        <w:rPr>
          <w:color w:val="000000"/>
          <w:lang w:val="bs-Latn-BA"/>
        </w:rPr>
        <w:t>201</w:t>
      </w:r>
      <w:r w:rsidR="00713D3F">
        <w:rPr>
          <w:color w:val="000000"/>
        </w:rPr>
        <w:t>4</w:t>
      </w:r>
      <w:r>
        <w:rPr>
          <w:color w:val="000000"/>
          <w:lang w:val="bs-Latn-BA"/>
        </w:rPr>
        <w:t>.</w:t>
      </w:r>
      <w:r w:rsidR="00713D3F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ГОДИНЕ)</w:t>
      </w:r>
    </w:p>
    <w:p w:rsidR="0064701C" w:rsidRDefault="0064701C" w:rsidP="00862438">
      <w:pPr>
        <w:jc w:val="center"/>
        <w:rPr>
          <w:b/>
          <w:color w:val="000000"/>
          <w:lang w:val="bs-Latn-BA"/>
        </w:rPr>
      </w:pPr>
    </w:p>
    <w:p w:rsidR="0064701C" w:rsidRDefault="0064701C" w:rsidP="00862438">
      <w:pPr>
        <w:jc w:val="center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ПРЕДМЕТ 7: </w:t>
      </w:r>
    </w:p>
    <w:p w:rsidR="0064701C" w:rsidRDefault="0064701C" w:rsidP="00862438">
      <w:pPr>
        <w:jc w:val="center"/>
        <w:rPr>
          <w:b/>
          <w:color w:val="000000"/>
          <w:u w:val="single"/>
          <w:lang w:val="bs-Latn-BA"/>
        </w:rPr>
      </w:pPr>
      <w:r>
        <w:rPr>
          <w:b/>
          <w:color w:val="000000"/>
          <w:u w:val="single"/>
          <w:lang w:val="bs-Latn-BA"/>
        </w:rPr>
        <w:t>ФИНАНСИЈСКО ИЗВЈЕШТАВАЊЕ 2</w:t>
      </w:r>
    </w:p>
    <w:p w:rsidR="0064701C" w:rsidRDefault="0064701C" w:rsidP="00862438">
      <w:pPr>
        <w:jc w:val="both"/>
        <w:rPr>
          <w:b/>
        </w:rPr>
      </w:pPr>
    </w:p>
    <w:p w:rsidR="00075003" w:rsidRPr="00075003" w:rsidRDefault="00075003" w:rsidP="00862438">
      <w:pPr>
        <w:jc w:val="both"/>
        <w:rPr>
          <w:b/>
        </w:rPr>
      </w:pPr>
    </w:p>
    <w:p w:rsidR="0064701C" w:rsidRDefault="0064701C" w:rsidP="00862438">
      <w:pPr>
        <w:jc w:val="both"/>
        <w:rPr>
          <w:b/>
        </w:rPr>
      </w:pPr>
      <w:r>
        <w:rPr>
          <w:b/>
          <w:lang w:val="bs-Latn-BA"/>
        </w:rPr>
        <w:t>I</w:t>
      </w:r>
      <w:r w:rsidRPr="006172FC">
        <w:rPr>
          <w:b/>
          <w:lang w:val="bs-Latn-BA"/>
        </w:rPr>
        <w:t xml:space="preserve"> - ТЕСТ П</w:t>
      </w:r>
      <w:r w:rsidRPr="006172FC">
        <w:rPr>
          <w:b/>
          <w:lang w:val="bs-Cyrl-BA"/>
        </w:rPr>
        <w:t>И</w:t>
      </w:r>
      <w:r w:rsidR="00DC0C18">
        <w:rPr>
          <w:b/>
          <w:lang w:val="bs-Latn-BA"/>
        </w:rPr>
        <w:t>ТАЊ</w:t>
      </w:r>
      <w:r w:rsidR="00DC0C18">
        <w:rPr>
          <w:b/>
        </w:rPr>
        <w:t>А</w:t>
      </w:r>
    </w:p>
    <w:p w:rsidR="00DC0C18" w:rsidRPr="00DC0C18" w:rsidRDefault="00DC0C18" w:rsidP="00862438">
      <w:pPr>
        <w:jc w:val="both"/>
        <w:rPr>
          <w:b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Према концепту очувања финансијског капитала, реална вриједност властитог капитала неког привредног друштва очувана је уколико је:</w:t>
      </w:r>
    </w:p>
    <w:p w:rsidR="00713D3F" w:rsidRPr="00DC6E2B" w:rsidRDefault="00713D3F" w:rsidP="003736F2">
      <w:pPr>
        <w:numPr>
          <w:ilvl w:val="1"/>
          <w:numId w:val="1"/>
        </w:numPr>
        <w:rPr>
          <w:color w:val="000000" w:themeColor="text1"/>
        </w:rPr>
      </w:pPr>
      <w:r w:rsidRPr="00DC6E2B">
        <w:rPr>
          <w:color w:val="000000" w:themeColor="text1"/>
        </w:rPr>
        <w:t>кумулативни салдо нето добитка на крају обрачунског периода већи од кумулативног салда нето добитка на почетку периода</w:t>
      </w:r>
    </w:p>
    <w:p w:rsidR="00713D3F" w:rsidRPr="00DC6E2B" w:rsidRDefault="00713D3F" w:rsidP="003736F2">
      <w:pPr>
        <w:numPr>
          <w:ilvl w:val="1"/>
          <w:numId w:val="1"/>
        </w:numPr>
        <w:rPr>
          <w:color w:val="000000" w:themeColor="text1"/>
        </w:rPr>
      </w:pPr>
      <w:r w:rsidRPr="00DC6E2B">
        <w:rPr>
          <w:color w:val="000000" w:themeColor="text1"/>
        </w:rPr>
        <w:t>сума извора средстава на крају обрачунског периода већа од суме извора средстава на почетку периода</w:t>
      </w:r>
    </w:p>
    <w:p w:rsidR="00713D3F" w:rsidRPr="00DC6E2B" w:rsidRDefault="00713D3F" w:rsidP="003736F2">
      <w:pPr>
        <w:numPr>
          <w:ilvl w:val="1"/>
          <w:numId w:val="1"/>
        </w:numPr>
        <w:rPr>
          <w:color w:val="000000" w:themeColor="text1"/>
        </w:rPr>
      </w:pPr>
      <w:r w:rsidRPr="00DC6E2B">
        <w:rPr>
          <w:color w:val="000000" w:themeColor="text1"/>
        </w:rPr>
        <w:t>сума позиција које чине властити капитал на крају обрачунског периода већа од суме позиција које чине властити капитал на почетку периода</w:t>
      </w:r>
    </w:p>
    <w:p w:rsidR="00713D3F" w:rsidRPr="00A468A6" w:rsidRDefault="00713D3F" w:rsidP="003736F2">
      <w:pPr>
        <w:numPr>
          <w:ilvl w:val="1"/>
          <w:numId w:val="1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сума позиција које чине властити капитал на крају обрачунског периода већа од суме позиција које чине властити капитал на почетку периода, искључујући у оба случаја доприносе власника и исплате власницима</w:t>
      </w:r>
    </w:p>
    <w:p w:rsidR="00713D3F" w:rsidRDefault="00713D3F" w:rsidP="00713D3F">
      <w:pPr>
        <w:jc w:val="both"/>
        <w:rPr>
          <w:lang w:val="sr-Cyrl-CS"/>
        </w:rPr>
      </w:pPr>
    </w:p>
    <w:p w:rsidR="00075003" w:rsidRDefault="00075003" w:rsidP="00713D3F">
      <w:pPr>
        <w:jc w:val="both"/>
        <w:rPr>
          <w:lang w:val="sr-Cyrl-CS"/>
        </w:rPr>
      </w:pPr>
    </w:p>
    <w:p w:rsidR="00075003" w:rsidRDefault="00075003" w:rsidP="00713D3F">
      <w:pPr>
        <w:jc w:val="both"/>
        <w:rPr>
          <w:lang w:val="sr-Cyrl-CS"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Категорије финансијске имовине према МРС 39 су:</w:t>
      </w:r>
    </w:p>
    <w:p w:rsidR="00713D3F" w:rsidRPr="00DC6E2B" w:rsidRDefault="00713D3F" w:rsidP="003736F2">
      <w:pPr>
        <w:numPr>
          <w:ilvl w:val="1"/>
          <w:numId w:val="3"/>
        </w:numPr>
        <w:rPr>
          <w:color w:val="000000" w:themeColor="text1"/>
        </w:rPr>
      </w:pPr>
      <w:r w:rsidRPr="00DC6E2B">
        <w:rPr>
          <w:color w:val="000000" w:themeColor="text1"/>
        </w:rPr>
        <w:t>улагања у власничке хартије од вриједности</w:t>
      </w:r>
    </w:p>
    <w:p w:rsidR="00713D3F" w:rsidRPr="00A468A6" w:rsidRDefault="00713D3F" w:rsidP="003736F2">
      <w:pPr>
        <w:numPr>
          <w:ilvl w:val="1"/>
          <w:numId w:val="3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зајмови и потраживања</w:t>
      </w:r>
    </w:p>
    <w:p w:rsidR="00713D3F" w:rsidRPr="00A468A6" w:rsidRDefault="00713D3F" w:rsidP="003736F2">
      <w:pPr>
        <w:numPr>
          <w:ilvl w:val="1"/>
          <w:numId w:val="3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финансијска средства означена од стране управе друштва као финансијска средства по фер вриједности кроз биланс успјеха</w:t>
      </w:r>
    </w:p>
    <w:p w:rsidR="00713D3F" w:rsidRPr="00DC6E2B" w:rsidRDefault="00713D3F" w:rsidP="003736F2">
      <w:pPr>
        <w:numPr>
          <w:ilvl w:val="1"/>
          <w:numId w:val="3"/>
        </w:numPr>
        <w:rPr>
          <w:color w:val="000000" w:themeColor="text1"/>
        </w:rPr>
      </w:pPr>
      <w:r w:rsidRPr="00DC6E2B">
        <w:rPr>
          <w:color w:val="000000" w:themeColor="text1"/>
        </w:rPr>
        <w:t>аванси дати у сврху набавке некретнина, постројења и опреме</w:t>
      </w:r>
    </w:p>
    <w:p w:rsidR="00713D3F" w:rsidRDefault="00713D3F" w:rsidP="00713D3F">
      <w:pPr>
        <w:jc w:val="both"/>
      </w:pPr>
    </w:p>
    <w:p w:rsidR="00075003" w:rsidRDefault="00075003" w:rsidP="00713D3F">
      <w:pPr>
        <w:jc w:val="both"/>
      </w:pPr>
    </w:p>
    <w:p w:rsidR="00075003" w:rsidRPr="00075003" w:rsidRDefault="00075003" w:rsidP="00713D3F">
      <w:pPr>
        <w:jc w:val="both"/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Према концепту ''текућег трошка'':</w:t>
      </w:r>
    </w:p>
    <w:p w:rsidR="00713D3F" w:rsidRPr="00DC6E2B" w:rsidRDefault="00713D3F" w:rsidP="003736F2">
      <w:pPr>
        <w:numPr>
          <w:ilvl w:val="1"/>
          <w:numId w:val="4"/>
        </w:numPr>
        <w:rPr>
          <w:color w:val="000000" w:themeColor="text1"/>
        </w:rPr>
      </w:pPr>
      <w:r w:rsidRPr="00DC6E2B">
        <w:rPr>
          <w:color w:val="000000" w:themeColor="text1"/>
        </w:rPr>
        <w:t>обавезе се евидентирају у дисконтованим износима готовине или готовинских еквивалената које би требало платити да се такве обавезе подмире у текућем периоду</w:t>
      </w:r>
    </w:p>
    <w:p w:rsidR="00713D3F" w:rsidRPr="00A468A6" w:rsidRDefault="00713D3F" w:rsidP="003736F2">
      <w:pPr>
        <w:numPr>
          <w:ilvl w:val="1"/>
          <w:numId w:val="4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обавезе се евидентирају у недисконтованим износима готовине или готовинских еквивалената које би требало платити да се такве обавезе подмире у текућем периоду</w:t>
      </w:r>
    </w:p>
    <w:p w:rsidR="00713D3F" w:rsidRPr="00DC6E2B" w:rsidRDefault="00713D3F" w:rsidP="003736F2">
      <w:pPr>
        <w:numPr>
          <w:ilvl w:val="1"/>
          <w:numId w:val="4"/>
        </w:numPr>
        <w:rPr>
          <w:color w:val="000000" w:themeColor="text1"/>
        </w:rPr>
      </w:pPr>
      <w:r w:rsidRPr="00DC6E2B">
        <w:rPr>
          <w:color w:val="000000" w:themeColor="text1"/>
        </w:rPr>
        <w:t>средства се евидентирају у износу готовине или готовинских еквивалената плаћених за њихово прибављање у моменту стицања</w:t>
      </w:r>
    </w:p>
    <w:p w:rsidR="00713D3F" w:rsidRPr="00DC6E2B" w:rsidRDefault="00713D3F" w:rsidP="003736F2">
      <w:pPr>
        <w:numPr>
          <w:ilvl w:val="1"/>
          <w:numId w:val="4"/>
        </w:numPr>
        <w:rPr>
          <w:color w:val="000000" w:themeColor="text1"/>
        </w:rPr>
      </w:pPr>
      <w:r w:rsidRPr="00DC6E2B">
        <w:rPr>
          <w:color w:val="000000" w:themeColor="text1"/>
        </w:rPr>
        <w:t>средства се евидентирају у износу готовине или готовинских еквивалената који би се могао добити продајом средства у редовном поступку отуђења</w:t>
      </w:r>
    </w:p>
    <w:p w:rsidR="00713D3F" w:rsidRDefault="00713D3F" w:rsidP="00713D3F">
      <w:pPr>
        <w:jc w:val="both"/>
        <w:rPr>
          <w:lang w:val="sr-Cyrl-CS"/>
        </w:rPr>
      </w:pPr>
    </w:p>
    <w:p w:rsidR="00075003" w:rsidRDefault="00075003" w:rsidP="00713D3F">
      <w:pPr>
        <w:jc w:val="both"/>
        <w:rPr>
          <w:lang w:val="sr-Cyrl-CS"/>
        </w:rPr>
      </w:pPr>
    </w:p>
    <w:p w:rsidR="00075003" w:rsidRDefault="00075003" w:rsidP="00713D3F">
      <w:pPr>
        <w:jc w:val="both"/>
        <w:rPr>
          <w:lang w:val="sr-Cyrl-CS"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lastRenderedPageBreak/>
        <w:t>Латентне резерве представљају разлику између:</w:t>
      </w:r>
    </w:p>
    <w:p w:rsidR="00713D3F" w:rsidRPr="00DC6E2B" w:rsidRDefault="00713D3F" w:rsidP="003736F2">
      <w:pPr>
        <w:numPr>
          <w:ilvl w:val="1"/>
          <w:numId w:val="5"/>
        </w:numPr>
        <w:rPr>
          <w:color w:val="000000" w:themeColor="text1"/>
        </w:rPr>
      </w:pPr>
      <w:r w:rsidRPr="00DC6E2B">
        <w:rPr>
          <w:color w:val="000000" w:themeColor="text1"/>
        </w:rPr>
        <w:t>више нето продајне и ниже књиговодствене вриједности билансираних залиха</w:t>
      </w:r>
    </w:p>
    <w:p w:rsidR="00713D3F" w:rsidRPr="00DC6E2B" w:rsidRDefault="00713D3F" w:rsidP="003736F2">
      <w:pPr>
        <w:numPr>
          <w:ilvl w:val="1"/>
          <w:numId w:val="5"/>
        </w:numPr>
        <w:rPr>
          <w:color w:val="000000" w:themeColor="text1"/>
        </w:rPr>
      </w:pPr>
      <w:r w:rsidRPr="00DC6E2B">
        <w:rPr>
          <w:color w:val="000000" w:themeColor="text1"/>
        </w:rPr>
        <w:t>више књиговодствене и ниже надокнадиве вриједности билансиране опреме</w:t>
      </w:r>
    </w:p>
    <w:p w:rsidR="00713D3F" w:rsidRPr="00DC6E2B" w:rsidRDefault="00713D3F" w:rsidP="003736F2">
      <w:pPr>
        <w:numPr>
          <w:ilvl w:val="1"/>
          <w:numId w:val="5"/>
        </w:numPr>
        <w:rPr>
          <w:color w:val="000000" w:themeColor="text1"/>
        </w:rPr>
      </w:pPr>
      <w:r w:rsidRPr="00DC6E2B">
        <w:rPr>
          <w:color w:val="000000" w:themeColor="text1"/>
        </w:rPr>
        <w:t>више фер и ниже садашње (дисконтоване) вриједности билансираних некретнина</w:t>
      </w:r>
    </w:p>
    <w:p w:rsidR="00713D3F" w:rsidRPr="00A468A6" w:rsidRDefault="00713D3F" w:rsidP="003736F2">
      <w:pPr>
        <w:numPr>
          <w:ilvl w:val="1"/>
          <w:numId w:val="5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више номиналне и ниже књиговодствене вриједности билансираних потраживања од купаца</w:t>
      </w:r>
    </w:p>
    <w:p w:rsidR="00713D3F" w:rsidRDefault="00713D3F" w:rsidP="00713D3F">
      <w:pPr>
        <w:jc w:val="both"/>
        <w:rPr>
          <w:b/>
        </w:rPr>
      </w:pPr>
    </w:p>
    <w:p w:rsidR="00075003" w:rsidRDefault="00075003" w:rsidP="00713D3F">
      <w:pPr>
        <w:jc w:val="both"/>
        <w:rPr>
          <w:b/>
        </w:rPr>
      </w:pPr>
    </w:p>
    <w:p w:rsidR="00075003" w:rsidRPr="00075003" w:rsidRDefault="00075003" w:rsidP="00713D3F">
      <w:pPr>
        <w:jc w:val="both"/>
        <w:rPr>
          <w:b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Консолидација финансијских извјештаја методом потпуне консолидације проводи се у случају када:</w:t>
      </w:r>
    </w:p>
    <w:p w:rsidR="00713D3F" w:rsidRPr="00DC6E2B" w:rsidRDefault="00713D3F" w:rsidP="003736F2">
      <w:pPr>
        <w:numPr>
          <w:ilvl w:val="1"/>
          <w:numId w:val="6"/>
        </w:numPr>
        <w:rPr>
          <w:color w:val="000000" w:themeColor="text1"/>
        </w:rPr>
      </w:pPr>
      <w:r w:rsidRPr="00DC6E2B">
        <w:rPr>
          <w:color w:val="000000" w:themeColor="text1"/>
        </w:rPr>
        <w:t>једно правно лице остварује значајан утицај над другим правним лицем</w:t>
      </w:r>
    </w:p>
    <w:p w:rsidR="00713D3F" w:rsidRPr="00DC6E2B" w:rsidRDefault="00713D3F" w:rsidP="003736F2">
      <w:pPr>
        <w:numPr>
          <w:ilvl w:val="1"/>
          <w:numId w:val="6"/>
        </w:numPr>
        <w:rPr>
          <w:color w:val="000000" w:themeColor="text1"/>
        </w:rPr>
      </w:pPr>
      <w:r w:rsidRPr="00DC6E2B">
        <w:rPr>
          <w:color w:val="000000" w:themeColor="text1"/>
        </w:rPr>
        <w:t>два правна лица на основу међусобног споразума заједнички контролишу пословање трећег правног лица</w:t>
      </w:r>
    </w:p>
    <w:p w:rsidR="00713D3F" w:rsidRPr="00DC6E2B" w:rsidRDefault="00713D3F" w:rsidP="003736F2">
      <w:pPr>
        <w:numPr>
          <w:ilvl w:val="1"/>
          <w:numId w:val="6"/>
        </w:numPr>
        <w:rPr>
          <w:color w:val="000000" w:themeColor="text1"/>
        </w:rPr>
      </w:pPr>
      <w:r w:rsidRPr="00DC6E2B">
        <w:rPr>
          <w:color w:val="000000" w:themeColor="text1"/>
        </w:rPr>
        <w:t>једно правно лице има учешће у капиталу другог правног лица у висини од 50%</w:t>
      </w:r>
    </w:p>
    <w:p w:rsidR="00713D3F" w:rsidRPr="00A468A6" w:rsidRDefault="00713D3F" w:rsidP="003736F2">
      <w:pPr>
        <w:numPr>
          <w:ilvl w:val="1"/>
          <w:numId w:val="6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једно правно лице има контролу над другим правним лицем</w:t>
      </w:r>
    </w:p>
    <w:p w:rsidR="00713D3F" w:rsidRPr="00A468A6" w:rsidRDefault="00713D3F" w:rsidP="00713D3F">
      <w:pPr>
        <w:jc w:val="both"/>
        <w:rPr>
          <w:b/>
          <w:u w:val="single"/>
        </w:rPr>
      </w:pPr>
    </w:p>
    <w:p w:rsidR="00075003" w:rsidRDefault="00075003" w:rsidP="00713D3F">
      <w:pPr>
        <w:jc w:val="both"/>
        <w:rPr>
          <w:b/>
        </w:rPr>
      </w:pPr>
    </w:p>
    <w:p w:rsidR="00075003" w:rsidRPr="00075003" w:rsidRDefault="00075003" w:rsidP="00713D3F">
      <w:pPr>
        <w:jc w:val="both"/>
        <w:rPr>
          <w:b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Према МСФИ 5, категорији сталних средстава намијењених продаји и отуђењу, поред осталих, припада и свако стално средство:</w:t>
      </w:r>
    </w:p>
    <w:p w:rsidR="00713D3F" w:rsidRPr="00DC6E2B" w:rsidRDefault="00713D3F" w:rsidP="003736F2">
      <w:pPr>
        <w:numPr>
          <w:ilvl w:val="1"/>
          <w:numId w:val="7"/>
        </w:numPr>
        <w:rPr>
          <w:color w:val="000000" w:themeColor="text1"/>
        </w:rPr>
      </w:pPr>
      <w:r w:rsidRPr="00DC6E2B">
        <w:rPr>
          <w:color w:val="000000" w:themeColor="text1"/>
        </w:rPr>
        <w:t>које више не доприноси притицању економских користи у правно лице,</w:t>
      </w:r>
    </w:p>
    <w:p w:rsidR="00713D3F" w:rsidRPr="00DC6E2B" w:rsidRDefault="00713D3F" w:rsidP="003736F2">
      <w:pPr>
        <w:numPr>
          <w:ilvl w:val="1"/>
          <w:numId w:val="7"/>
        </w:numPr>
        <w:rPr>
          <w:color w:val="000000" w:themeColor="text1"/>
        </w:rPr>
      </w:pPr>
      <w:r w:rsidRPr="00DC6E2B">
        <w:rPr>
          <w:color w:val="000000" w:themeColor="text1"/>
        </w:rPr>
        <w:t>које је у потпуности амортизовано, без обзира да ли се налази у употреби или не</w:t>
      </w:r>
    </w:p>
    <w:p w:rsidR="00713D3F" w:rsidRPr="00DC6E2B" w:rsidRDefault="00713D3F" w:rsidP="003736F2">
      <w:pPr>
        <w:numPr>
          <w:ilvl w:val="1"/>
          <w:numId w:val="7"/>
        </w:numPr>
        <w:rPr>
          <w:color w:val="000000" w:themeColor="text1"/>
        </w:rPr>
      </w:pPr>
      <w:r w:rsidRPr="00DC6E2B">
        <w:rPr>
          <w:color w:val="000000" w:themeColor="text1"/>
        </w:rPr>
        <w:t>које управа намјерава да прода у периоду до наредног датума биланса стања</w:t>
      </w:r>
    </w:p>
    <w:p w:rsidR="00713D3F" w:rsidRPr="00A468A6" w:rsidRDefault="00713D3F" w:rsidP="003736F2">
      <w:pPr>
        <w:numPr>
          <w:ilvl w:val="1"/>
          <w:numId w:val="7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које је повучено из редовне употребе са доказивом намјером и способношћу управе да га прода у краткорочном периоду</w:t>
      </w:r>
    </w:p>
    <w:p w:rsidR="00713D3F" w:rsidRDefault="00713D3F" w:rsidP="00713D3F">
      <w:pPr>
        <w:jc w:val="both"/>
        <w:rPr>
          <w:lang w:val="sr-Cyrl-CS"/>
        </w:rPr>
      </w:pPr>
    </w:p>
    <w:p w:rsidR="00075003" w:rsidRDefault="00075003" w:rsidP="00713D3F">
      <w:pPr>
        <w:jc w:val="both"/>
        <w:rPr>
          <w:lang w:val="sr-Cyrl-CS"/>
        </w:rPr>
      </w:pPr>
    </w:p>
    <w:p w:rsidR="00075003" w:rsidRDefault="00075003" w:rsidP="00713D3F">
      <w:pPr>
        <w:jc w:val="both"/>
        <w:rPr>
          <w:lang w:val="sr-Cyrl-CS"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Према МРС 18, признавање прихода од продаје врши се:</w:t>
      </w:r>
    </w:p>
    <w:p w:rsidR="00713D3F" w:rsidRPr="00A468A6" w:rsidRDefault="00713D3F" w:rsidP="003736F2">
      <w:pPr>
        <w:numPr>
          <w:ilvl w:val="1"/>
          <w:numId w:val="8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када купац прихвати испоруку</w:t>
      </w:r>
    </w:p>
    <w:p w:rsidR="00713D3F" w:rsidRPr="00DC6E2B" w:rsidRDefault="00713D3F" w:rsidP="003736F2">
      <w:pPr>
        <w:numPr>
          <w:ilvl w:val="1"/>
          <w:numId w:val="8"/>
        </w:numPr>
        <w:rPr>
          <w:color w:val="000000" w:themeColor="text1"/>
        </w:rPr>
      </w:pPr>
      <w:r w:rsidRPr="00DC6E2B">
        <w:rPr>
          <w:color w:val="000000" w:themeColor="text1"/>
        </w:rPr>
        <w:t>када се изврши наплата уговореног износа од купца</w:t>
      </w:r>
    </w:p>
    <w:p w:rsidR="00713D3F" w:rsidRPr="00DC6E2B" w:rsidRDefault="00713D3F" w:rsidP="003736F2">
      <w:pPr>
        <w:numPr>
          <w:ilvl w:val="1"/>
          <w:numId w:val="8"/>
        </w:numPr>
        <w:rPr>
          <w:color w:val="000000" w:themeColor="text1"/>
        </w:rPr>
      </w:pPr>
      <w:r w:rsidRPr="00DC6E2B">
        <w:rPr>
          <w:color w:val="000000" w:themeColor="text1"/>
        </w:rPr>
        <w:t>на датум потписивања уговора о продаји</w:t>
      </w:r>
    </w:p>
    <w:p w:rsidR="00713D3F" w:rsidRPr="00DC6E2B" w:rsidRDefault="00713D3F" w:rsidP="003736F2">
      <w:pPr>
        <w:numPr>
          <w:ilvl w:val="1"/>
          <w:numId w:val="8"/>
        </w:numPr>
        <w:rPr>
          <w:color w:val="000000" w:themeColor="text1"/>
        </w:rPr>
      </w:pPr>
      <w:r w:rsidRPr="00DC6E2B">
        <w:rPr>
          <w:color w:val="000000" w:themeColor="text1"/>
        </w:rPr>
        <w:t>на датум када је купцу испостављена фактура о продаји</w:t>
      </w:r>
    </w:p>
    <w:p w:rsidR="00713D3F" w:rsidRDefault="00713D3F" w:rsidP="00713D3F">
      <w:pPr>
        <w:jc w:val="both"/>
        <w:rPr>
          <w:i/>
          <w:lang w:val="sr-Cyrl-CS"/>
        </w:rPr>
      </w:pPr>
    </w:p>
    <w:p w:rsidR="00075003" w:rsidRDefault="00075003" w:rsidP="00713D3F">
      <w:pPr>
        <w:jc w:val="both"/>
        <w:rPr>
          <w:i/>
          <w:lang w:val="sr-Cyrl-CS"/>
        </w:rPr>
      </w:pPr>
    </w:p>
    <w:p w:rsidR="00075003" w:rsidRDefault="00075003" w:rsidP="00713D3F">
      <w:pPr>
        <w:jc w:val="both"/>
        <w:rPr>
          <w:i/>
          <w:lang w:val="sr-Cyrl-CS"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У складу са МРС 16, трошкови инвестиционог одржавања некретнина, постројења и опреме:</w:t>
      </w:r>
    </w:p>
    <w:p w:rsidR="00713D3F" w:rsidRPr="00DC6E2B" w:rsidRDefault="00713D3F" w:rsidP="003736F2">
      <w:pPr>
        <w:numPr>
          <w:ilvl w:val="1"/>
          <w:numId w:val="9"/>
        </w:numPr>
        <w:rPr>
          <w:color w:val="000000" w:themeColor="text1"/>
        </w:rPr>
      </w:pPr>
      <w:r w:rsidRPr="00DC6E2B">
        <w:rPr>
          <w:color w:val="000000" w:themeColor="text1"/>
        </w:rPr>
        <w:t>терете финансијски резултат периода у коме су настали</w:t>
      </w:r>
    </w:p>
    <w:p w:rsidR="00713D3F" w:rsidRPr="00A468A6" w:rsidRDefault="00713D3F" w:rsidP="003736F2">
      <w:pPr>
        <w:numPr>
          <w:ilvl w:val="1"/>
          <w:numId w:val="9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увећавају књиговодствену вриједност некретнине, постројења или опреме који су предмет одржавања</w:t>
      </w:r>
    </w:p>
    <w:p w:rsidR="00713D3F" w:rsidRPr="00DC6E2B" w:rsidRDefault="00713D3F" w:rsidP="003736F2">
      <w:pPr>
        <w:numPr>
          <w:ilvl w:val="1"/>
          <w:numId w:val="9"/>
        </w:numPr>
        <w:rPr>
          <w:color w:val="000000" w:themeColor="text1"/>
        </w:rPr>
      </w:pPr>
      <w:r w:rsidRPr="00DC6E2B">
        <w:rPr>
          <w:color w:val="000000" w:themeColor="text1"/>
        </w:rPr>
        <w:t>терете рачуне активних временских разграничења чији салдо се постепено преноси на расходе, а најкасније до сљедећег инвестиционог одржавања</w:t>
      </w:r>
    </w:p>
    <w:p w:rsidR="00713D3F" w:rsidRPr="00DC6E2B" w:rsidRDefault="00713D3F" w:rsidP="003736F2">
      <w:pPr>
        <w:numPr>
          <w:ilvl w:val="1"/>
          <w:numId w:val="9"/>
        </w:numPr>
        <w:rPr>
          <w:color w:val="000000" w:themeColor="text1"/>
        </w:rPr>
      </w:pPr>
      <w:r w:rsidRPr="00DC6E2B">
        <w:rPr>
          <w:color w:val="000000" w:themeColor="text1"/>
        </w:rPr>
        <w:t xml:space="preserve">терете рачун дугорочних резервисања за трошкове инвестиционог одржавања  </w:t>
      </w:r>
    </w:p>
    <w:p w:rsidR="00713D3F" w:rsidRDefault="00713D3F" w:rsidP="00713D3F">
      <w:pPr>
        <w:jc w:val="both"/>
        <w:rPr>
          <w:i/>
          <w:lang w:val="sr-Cyrl-CS"/>
        </w:rPr>
      </w:pPr>
    </w:p>
    <w:p w:rsidR="00075003" w:rsidRDefault="00075003" w:rsidP="00713D3F">
      <w:pPr>
        <w:jc w:val="both"/>
        <w:rPr>
          <w:i/>
          <w:lang w:val="sr-Cyrl-CS"/>
        </w:rPr>
      </w:pPr>
    </w:p>
    <w:p w:rsidR="00075003" w:rsidRDefault="00075003" w:rsidP="00713D3F">
      <w:pPr>
        <w:jc w:val="both"/>
        <w:rPr>
          <w:i/>
          <w:lang w:val="sr-Cyrl-CS"/>
        </w:rPr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lastRenderedPageBreak/>
        <w:t>Примјери корективних догађаја (догађаја који су се десили након датума биланса стања а прије објаве финансијског извјештаја), у складу са МРС 10 су:</w:t>
      </w:r>
    </w:p>
    <w:p w:rsidR="00713D3F" w:rsidRPr="00A468A6" w:rsidRDefault="00713D3F" w:rsidP="003736F2">
      <w:pPr>
        <w:numPr>
          <w:ilvl w:val="1"/>
          <w:numId w:val="10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значајан пад тржишне вриједности акција купљених до датума биланса стања</w:t>
      </w:r>
    </w:p>
    <w:p w:rsidR="00713D3F" w:rsidRPr="00A468A6" w:rsidRDefault="00713D3F" w:rsidP="003736F2">
      <w:pPr>
        <w:numPr>
          <w:ilvl w:val="1"/>
          <w:numId w:val="10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процјена правне службе о постојању мале вјероватноће за позитивним исходом судског спора покренутог против купца коме је испорука производа извршена у претходном обрачунском периоду</w:t>
      </w:r>
    </w:p>
    <w:p w:rsidR="00713D3F" w:rsidRPr="00DC6E2B" w:rsidRDefault="00713D3F" w:rsidP="003736F2">
      <w:pPr>
        <w:numPr>
          <w:ilvl w:val="1"/>
          <w:numId w:val="10"/>
        </w:numPr>
        <w:rPr>
          <w:color w:val="000000" w:themeColor="text1"/>
        </w:rPr>
      </w:pPr>
      <w:r w:rsidRPr="00DC6E2B">
        <w:rPr>
          <w:color w:val="000000" w:themeColor="text1"/>
        </w:rPr>
        <w:t>мањак на залихама робе набављеним прије истека обрачунског периода</w:t>
      </w:r>
    </w:p>
    <w:p w:rsidR="00713D3F" w:rsidRPr="00DC6E2B" w:rsidRDefault="00713D3F" w:rsidP="003736F2">
      <w:pPr>
        <w:numPr>
          <w:ilvl w:val="1"/>
          <w:numId w:val="10"/>
        </w:numPr>
        <w:rPr>
          <w:color w:val="000000" w:themeColor="text1"/>
        </w:rPr>
      </w:pPr>
      <w:r w:rsidRPr="00DC6E2B">
        <w:rPr>
          <w:color w:val="000000" w:themeColor="text1"/>
        </w:rPr>
        <w:t>процјена резервисања за трошкове реструктуисања које би требало бити извршено у наредном обрачунском периоду</w:t>
      </w:r>
    </w:p>
    <w:p w:rsidR="00713D3F" w:rsidRDefault="00713D3F" w:rsidP="00713D3F">
      <w:pPr>
        <w:jc w:val="both"/>
      </w:pPr>
    </w:p>
    <w:p w:rsidR="00075003" w:rsidRDefault="00075003" w:rsidP="00713D3F">
      <w:pPr>
        <w:jc w:val="both"/>
      </w:pPr>
    </w:p>
    <w:p w:rsidR="00075003" w:rsidRPr="00075003" w:rsidRDefault="00075003" w:rsidP="00713D3F">
      <w:pPr>
        <w:jc w:val="both"/>
      </w:pPr>
    </w:p>
    <w:p w:rsidR="00713D3F" w:rsidRPr="00DC6E2B" w:rsidRDefault="00713D3F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 w:rsidRPr="00DC6E2B">
        <w:rPr>
          <w:b/>
          <w:color w:val="000000" w:themeColor="text1"/>
        </w:rPr>
        <w:t>МРС 31 се примјењује за рачуноводствени обухват улагања у:</w:t>
      </w:r>
    </w:p>
    <w:p w:rsidR="00713D3F" w:rsidRPr="00A468A6" w:rsidRDefault="00713D3F" w:rsidP="003736F2">
      <w:pPr>
        <w:numPr>
          <w:ilvl w:val="1"/>
          <w:numId w:val="11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заједнички контролисано пословање</w:t>
      </w:r>
    </w:p>
    <w:p w:rsidR="00713D3F" w:rsidRPr="00DC6E2B" w:rsidRDefault="00713D3F" w:rsidP="003736F2">
      <w:pPr>
        <w:numPr>
          <w:ilvl w:val="1"/>
          <w:numId w:val="11"/>
        </w:numPr>
        <w:rPr>
          <w:color w:val="000000" w:themeColor="text1"/>
        </w:rPr>
      </w:pPr>
      <w:r w:rsidRPr="00DC6E2B">
        <w:rPr>
          <w:color w:val="000000" w:themeColor="text1"/>
        </w:rPr>
        <w:t>придружена правна лица</w:t>
      </w:r>
    </w:p>
    <w:p w:rsidR="00713D3F" w:rsidRPr="00DC6E2B" w:rsidRDefault="00713D3F" w:rsidP="003736F2">
      <w:pPr>
        <w:numPr>
          <w:ilvl w:val="1"/>
          <w:numId w:val="11"/>
        </w:numPr>
        <w:rPr>
          <w:color w:val="000000" w:themeColor="text1"/>
        </w:rPr>
      </w:pPr>
      <w:r w:rsidRPr="00DC6E2B">
        <w:rPr>
          <w:color w:val="000000" w:themeColor="text1"/>
        </w:rPr>
        <w:t>зависна правна лица</w:t>
      </w:r>
    </w:p>
    <w:p w:rsidR="00713D3F" w:rsidRPr="00A468A6" w:rsidRDefault="00713D3F" w:rsidP="003736F2">
      <w:pPr>
        <w:numPr>
          <w:ilvl w:val="1"/>
          <w:numId w:val="11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одређене категорије повезаних правних лица</w:t>
      </w:r>
    </w:p>
    <w:p w:rsidR="00713D3F" w:rsidRPr="00075003" w:rsidRDefault="00713D3F" w:rsidP="00713D3F">
      <w:pPr>
        <w:jc w:val="both"/>
      </w:pPr>
    </w:p>
    <w:p w:rsidR="00DC0C18" w:rsidRDefault="00DC0C18" w:rsidP="00DC6E2B">
      <w:pPr>
        <w:jc w:val="both"/>
      </w:pPr>
    </w:p>
    <w:p w:rsidR="003D6FC3" w:rsidRPr="00DC6E2B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Ограничења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у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погледу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релевантности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поузданости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информација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према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Оквиру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састављање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презентoв</w:t>
      </w:r>
      <w:r w:rsidRPr="00DC6E2B">
        <w:rPr>
          <w:b/>
          <w:color w:val="000000" w:themeColor="text1"/>
        </w:rPr>
        <w:t>ање</w:t>
      </w:r>
      <w:r w:rsidR="003D6FC3" w:rsidRPr="00DC6E2B">
        <w:rPr>
          <w:b/>
          <w:color w:val="000000" w:themeColor="text1"/>
        </w:rPr>
        <w:t xml:space="preserve"> </w:t>
      </w:r>
      <w:r w:rsidRPr="00DC6E2B">
        <w:rPr>
          <w:b/>
          <w:color w:val="000000" w:themeColor="text1"/>
        </w:rPr>
        <w:t>финан</w:t>
      </w:r>
      <w:r>
        <w:rPr>
          <w:b/>
          <w:color w:val="000000" w:themeColor="text1"/>
        </w:rPr>
        <w:t>с</w:t>
      </w:r>
      <w:r w:rsidRPr="00DC6E2B">
        <w:rPr>
          <w:b/>
          <w:color w:val="000000" w:themeColor="text1"/>
        </w:rPr>
        <w:t>ијских</w:t>
      </w:r>
      <w:r w:rsidR="003D6FC3" w:rsidRPr="00DC6E2B">
        <w:rPr>
          <w:b/>
          <w:color w:val="000000" w:themeColor="text1"/>
        </w:rPr>
        <w:t xml:space="preserve"> </w:t>
      </w:r>
      <w:r w:rsidRPr="00DC6E2B">
        <w:rPr>
          <w:b/>
          <w:color w:val="000000" w:themeColor="text1"/>
        </w:rPr>
        <w:t>извјештаја</w:t>
      </w:r>
      <w:r w:rsidR="003D6FC3" w:rsidRPr="00DC6E2B">
        <w:rPr>
          <w:b/>
          <w:color w:val="000000" w:themeColor="text1"/>
        </w:rPr>
        <w:t xml:space="preserve"> </w:t>
      </w:r>
      <w:r w:rsidRPr="00DC6E2B">
        <w:rPr>
          <w:b/>
          <w:color w:val="000000" w:themeColor="text1"/>
        </w:rPr>
        <w:t>су</w:t>
      </w:r>
      <w:r w:rsidR="003D6FC3" w:rsidRPr="00DC6E2B">
        <w:rPr>
          <w:b/>
          <w:color w:val="000000" w:themeColor="text1"/>
        </w:rPr>
        <w:t>:</w:t>
      </w:r>
    </w:p>
    <w:p w:rsidR="003D6FC3" w:rsidRPr="00864050" w:rsidRDefault="00DC6E2B" w:rsidP="003736F2">
      <w:pPr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правовременост</w:t>
      </w:r>
    </w:p>
    <w:p w:rsidR="003D6FC3" w:rsidRPr="00864050" w:rsidRDefault="00DC6E2B" w:rsidP="003736F2">
      <w:pPr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равнотежа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између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користи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трошкова</w:t>
      </w:r>
    </w:p>
    <w:p w:rsidR="003D6FC3" w:rsidRPr="00864050" w:rsidRDefault="00DC6E2B" w:rsidP="003736F2">
      <w:pPr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равнотежа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између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квалитативних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обиљежја</w:t>
      </w:r>
    </w:p>
    <w:p w:rsidR="003D6FC3" w:rsidRPr="00A468A6" w:rsidRDefault="00DC6E2B" w:rsidP="003736F2">
      <w:pPr>
        <w:numPr>
          <w:ilvl w:val="1"/>
          <w:numId w:val="12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све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горе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наведено</w:t>
      </w:r>
    </w:p>
    <w:p w:rsidR="003D6FC3" w:rsidRPr="00075003" w:rsidRDefault="003D6FC3" w:rsidP="00075003">
      <w:pPr>
        <w:jc w:val="both"/>
      </w:pPr>
    </w:p>
    <w:p w:rsidR="003D6FC3" w:rsidRPr="00864050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Обртни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капитал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се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добије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као</w:t>
      </w:r>
      <w:r w:rsidR="003D6FC3" w:rsidRPr="00864050">
        <w:rPr>
          <w:b/>
          <w:color w:val="000000" w:themeColor="text1"/>
        </w:rPr>
        <w:t xml:space="preserve">: </w:t>
      </w:r>
    </w:p>
    <w:p w:rsidR="003D6FC3" w:rsidRPr="00864050" w:rsidRDefault="00DC6E2B" w:rsidP="003736F2">
      <w:pPr>
        <w:numPr>
          <w:ilvl w:val="1"/>
          <w:numId w:val="13"/>
        </w:numPr>
        <w:rPr>
          <w:color w:val="000000" w:themeColor="text1"/>
        </w:rPr>
      </w:pPr>
      <w:r>
        <w:rPr>
          <w:color w:val="000000" w:themeColor="text1"/>
        </w:rPr>
        <w:t>текућа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средства</w:t>
      </w:r>
      <w:r w:rsidR="003D6FC3" w:rsidRPr="00864050">
        <w:rPr>
          <w:color w:val="000000" w:themeColor="text1"/>
        </w:rPr>
        <w:t xml:space="preserve"> / </w:t>
      </w:r>
      <w:r>
        <w:rPr>
          <w:color w:val="000000" w:themeColor="text1"/>
        </w:rPr>
        <w:t>текуће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об</w:t>
      </w:r>
      <w:r w:rsidR="00891A05">
        <w:rPr>
          <w:color w:val="000000" w:themeColor="text1"/>
        </w:rPr>
        <w:t>a</w:t>
      </w:r>
      <w:r>
        <w:rPr>
          <w:color w:val="000000" w:themeColor="text1"/>
        </w:rPr>
        <w:t>везе</w:t>
      </w:r>
    </w:p>
    <w:p w:rsidR="003D6FC3" w:rsidRPr="00A468A6" w:rsidRDefault="00DC6E2B" w:rsidP="003736F2">
      <w:pPr>
        <w:numPr>
          <w:ilvl w:val="1"/>
          <w:numId w:val="13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текућа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средства</w:t>
      </w:r>
      <w:r w:rsidR="003D6FC3" w:rsidRPr="00A468A6">
        <w:rPr>
          <w:color w:val="000000" w:themeColor="text1"/>
          <w:u w:val="single"/>
        </w:rPr>
        <w:t xml:space="preserve"> – </w:t>
      </w:r>
      <w:r w:rsidRPr="00A468A6">
        <w:rPr>
          <w:color w:val="000000" w:themeColor="text1"/>
          <w:u w:val="single"/>
        </w:rPr>
        <w:t>текуће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об</w:t>
      </w:r>
      <w:r w:rsidR="00891A05" w:rsidRPr="00A468A6">
        <w:rPr>
          <w:color w:val="000000" w:themeColor="text1"/>
          <w:u w:val="single"/>
        </w:rPr>
        <w:t>a</w:t>
      </w:r>
      <w:r w:rsidRPr="00A468A6">
        <w:rPr>
          <w:color w:val="000000" w:themeColor="text1"/>
          <w:u w:val="single"/>
        </w:rPr>
        <w:t>везе</w:t>
      </w:r>
    </w:p>
    <w:p w:rsidR="003D6FC3" w:rsidRPr="00864050" w:rsidRDefault="00DC6E2B" w:rsidP="003736F2">
      <w:pPr>
        <w:numPr>
          <w:ilvl w:val="1"/>
          <w:numId w:val="13"/>
        </w:numPr>
        <w:rPr>
          <w:color w:val="000000" w:themeColor="text1"/>
        </w:rPr>
      </w:pPr>
      <w:r>
        <w:rPr>
          <w:color w:val="000000" w:themeColor="text1"/>
        </w:rPr>
        <w:t>укупна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средства</w:t>
      </w:r>
      <w:r w:rsidR="003D6FC3" w:rsidRPr="00864050">
        <w:rPr>
          <w:color w:val="000000" w:themeColor="text1"/>
        </w:rPr>
        <w:t xml:space="preserve"> / </w:t>
      </w:r>
      <w:r>
        <w:rPr>
          <w:color w:val="000000" w:themeColor="text1"/>
        </w:rPr>
        <w:t>укупне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об</w:t>
      </w:r>
      <w:r w:rsidR="00891A05">
        <w:rPr>
          <w:color w:val="000000" w:themeColor="text1"/>
        </w:rPr>
        <w:t>a</w:t>
      </w:r>
      <w:r>
        <w:rPr>
          <w:color w:val="000000" w:themeColor="text1"/>
        </w:rPr>
        <w:t>везе</w:t>
      </w:r>
    </w:p>
    <w:p w:rsidR="003D6FC3" w:rsidRPr="00864050" w:rsidRDefault="00DC6E2B" w:rsidP="003736F2">
      <w:pPr>
        <w:numPr>
          <w:ilvl w:val="1"/>
          <w:numId w:val="13"/>
        </w:numPr>
        <w:rPr>
          <w:color w:val="000000" w:themeColor="text1"/>
        </w:rPr>
      </w:pPr>
      <w:r>
        <w:rPr>
          <w:color w:val="000000" w:themeColor="text1"/>
        </w:rPr>
        <w:t>укупна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средства</w:t>
      </w:r>
      <w:r w:rsidR="003D6FC3" w:rsidRPr="00864050">
        <w:rPr>
          <w:color w:val="000000" w:themeColor="text1"/>
        </w:rPr>
        <w:t xml:space="preserve"> – </w:t>
      </w:r>
      <w:r>
        <w:rPr>
          <w:color w:val="000000" w:themeColor="text1"/>
        </w:rPr>
        <w:t>укупне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об</w:t>
      </w:r>
      <w:r w:rsidR="00891A05">
        <w:rPr>
          <w:color w:val="000000" w:themeColor="text1"/>
        </w:rPr>
        <w:t>a</w:t>
      </w:r>
      <w:r>
        <w:rPr>
          <w:color w:val="000000" w:themeColor="text1"/>
        </w:rPr>
        <w:t>везе</w:t>
      </w:r>
    </w:p>
    <w:p w:rsidR="003D6FC3" w:rsidRPr="00075003" w:rsidRDefault="003D6FC3" w:rsidP="00075003">
      <w:pPr>
        <w:jc w:val="both"/>
      </w:pPr>
    </w:p>
    <w:p w:rsidR="003D6FC3" w:rsidRPr="00864050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Зарада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акцији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се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израчунава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као</w:t>
      </w:r>
      <w:r w:rsidR="003D6FC3" w:rsidRPr="00864050">
        <w:rPr>
          <w:b/>
          <w:color w:val="000000" w:themeColor="text1"/>
        </w:rPr>
        <w:t>:</w:t>
      </w:r>
    </w:p>
    <w:p w:rsidR="003D6FC3" w:rsidRPr="00A468A6" w:rsidRDefault="00DC6E2B" w:rsidP="003736F2">
      <w:pPr>
        <w:numPr>
          <w:ilvl w:val="1"/>
          <w:numId w:val="14"/>
        </w:numPr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нето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добит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за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обичне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акције</w:t>
      </w:r>
      <w:r w:rsidR="003D6FC3" w:rsidRPr="00A468A6">
        <w:rPr>
          <w:color w:val="000000" w:themeColor="text1"/>
          <w:u w:val="single"/>
        </w:rPr>
        <w:t xml:space="preserve"> / </w:t>
      </w:r>
      <w:r w:rsidRPr="00A468A6">
        <w:rPr>
          <w:color w:val="000000" w:themeColor="text1"/>
          <w:u w:val="single"/>
        </w:rPr>
        <w:t>просјечан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број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обичних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акција</w:t>
      </w:r>
    </w:p>
    <w:p w:rsidR="003D6FC3" w:rsidRPr="00864050" w:rsidRDefault="00DC6E2B" w:rsidP="003736F2">
      <w:pPr>
        <w:numPr>
          <w:ilvl w:val="1"/>
          <w:numId w:val="14"/>
        </w:numPr>
        <w:rPr>
          <w:color w:val="000000" w:themeColor="text1"/>
        </w:rPr>
      </w:pPr>
      <w:r>
        <w:rPr>
          <w:color w:val="000000" w:themeColor="text1"/>
        </w:rPr>
        <w:t>бруто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добит</w:t>
      </w:r>
      <w:r w:rsidR="003D6FC3" w:rsidRPr="00864050">
        <w:rPr>
          <w:color w:val="000000" w:themeColor="text1"/>
        </w:rPr>
        <w:t xml:space="preserve"> /  </w:t>
      </w:r>
      <w:r>
        <w:rPr>
          <w:color w:val="000000" w:themeColor="text1"/>
        </w:rPr>
        <w:t>просјечан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број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обичних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акција</w:t>
      </w:r>
    </w:p>
    <w:p w:rsidR="003D6FC3" w:rsidRPr="00864050" w:rsidRDefault="00DC6E2B" w:rsidP="003736F2">
      <w:pPr>
        <w:numPr>
          <w:ilvl w:val="1"/>
          <w:numId w:val="14"/>
        </w:numPr>
        <w:rPr>
          <w:color w:val="000000" w:themeColor="text1"/>
        </w:rPr>
      </w:pPr>
      <w:r>
        <w:rPr>
          <w:color w:val="000000" w:themeColor="text1"/>
        </w:rPr>
        <w:t>бруто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добит</w:t>
      </w:r>
      <w:r w:rsidR="003D6FC3" w:rsidRPr="00864050">
        <w:rPr>
          <w:color w:val="000000" w:themeColor="text1"/>
        </w:rPr>
        <w:t xml:space="preserve"> / </w:t>
      </w:r>
      <w:r>
        <w:rPr>
          <w:color w:val="000000" w:themeColor="text1"/>
        </w:rPr>
        <w:t>укупан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број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акција</w:t>
      </w:r>
      <w:r w:rsidR="003D6FC3" w:rsidRPr="00864050">
        <w:rPr>
          <w:color w:val="000000" w:themeColor="text1"/>
        </w:rPr>
        <w:t xml:space="preserve"> </w:t>
      </w:r>
    </w:p>
    <w:p w:rsidR="00075003" w:rsidRPr="00075003" w:rsidRDefault="00075003" w:rsidP="003D6FC3">
      <w:pPr>
        <w:rPr>
          <w:color w:val="000000" w:themeColor="text1"/>
        </w:rPr>
      </w:pPr>
    </w:p>
    <w:p w:rsidR="003D6FC3" w:rsidRPr="00864050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Зарада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од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новчаног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тока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</w:t>
      </w:r>
      <w:r w:rsidR="003D6FC3" w:rsidRPr="00864050">
        <w:rPr>
          <w:b/>
          <w:color w:val="000000" w:themeColor="text1"/>
        </w:rPr>
        <w:t>:</w:t>
      </w:r>
    </w:p>
    <w:p w:rsidR="003D6FC3" w:rsidRPr="00864050" w:rsidRDefault="00DC6E2B" w:rsidP="003736F2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готовина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жиро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рачуну</w:t>
      </w:r>
    </w:p>
    <w:p w:rsidR="003D6FC3" w:rsidRPr="00A468A6" w:rsidRDefault="00DC6E2B" w:rsidP="003736F2">
      <w:pPr>
        <w:numPr>
          <w:ilvl w:val="1"/>
          <w:numId w:val="15"/>
        </w:numPr>
        <w:jc w:val="both"/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добит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увећана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за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амортизацију</w:t>
      </w:r>
    </w:p>
    <w:p w:rsidR="003D6FC3" w:rsidRPr="00864050" w:rsidRDefault="00DC6E2B" w:rsidP="003736F2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добит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од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финансијских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активности</w:t>
      </w:r>
    </w:p>
    <w:p w:rsidR="003D6FC3" w:rsidRPr="00864050" w:rsidRDefault="00DC6E2B" w:rsidP="003736F2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укупни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прилив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жиро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рачун</w:t>
      </w:r>
    </w:p>
    <w:p w:rsidR="003D6FC3" w:rsidRDefault="003D6FC3" w:rsidP="003D6FC3">
      <w:pPr>
        <w:rPr>
          <w:color w:val="000000" w:themeColor="text1"/>
        </w:rPr>
      </w:pPr>
    </w:p>
    <w:p w:rsidR="003D6FC3" w:rsidRPr="00864050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EBITDA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</w:t>
      </w:r>
      <w:r w:rsidR="003D6FC3" w:rsidRPr="00864050">
        <w:rPr>
          <w:b/>
          <w:color w:val="000000" w:themeColor="text1"/>
        </w:rPr>
        <w:t>:</w:t>
      </w:r>
    </w:p>
    <w:p w:rsidR="003D6FC3" w:rsidRPr="00864050" w:rsidRDefault="00DC6E2B" w:rsidP="003736F2">
      <w:pPr>
        <w:numPr>
          <w:ilvl w:val="1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мјера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трошкова</w:t>
      </w:r>
    </w:p>
    <w:p w:rsidR="003D6FC3" w:rsidRPr="00864050" w:rsidRDefault="00DC6E2B" w:rsidP="003736F2">
      <w:pPr>
        <w:numPr>
          <w:ilvl w:val="1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мјера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успјешности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инвестиционих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пројеката</w:t>
      </w:r>
    </w:p>
    <w:p w:rsidR="003D6FC3" w:rsidRPr="00A468A6" w:rsidRDefault="00DC6E2B" w:rsidP="003736F2">
      <w:pPr>
        <w:numPr>
          <w:ilvl w:val="1"/>
          <w:numId w:val="16"/>
        </w:numPr>
        <w:jc w:val="both"/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мјера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перформансе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која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се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покушава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ослонити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на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новчане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токове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иако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се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ради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о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профитној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мјери</w:t>
      </w:r>
    </w:p>
    <w:p w:rsidR="003D6FC3" w:rsidRPr="00864050" w:rsidRDefault="00DC6E2B" w:rsidP="003736F2">
      <w:pPr>
        <w:numPr>
          <w:ilvl w:val="1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метода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обрачуна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амортизације</w:t>
      </w:r>
    </w:p>
    <w:p w:rsidR="003D6FC3" w:rsidRPr="00864050" w:rsidRDefault="003D6FC3" w:rsidP="003D6FC3">
      <w:pPr>
        <w:rPr>
          <w:color w:val="000000" w:themeColor="text1"/>
        </w:rPr>
      </w:pPr>
    </w:p>
    <w:p w:rsidR="003D6FC3" w:rsidRPr="00864050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Који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финансијски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извјештај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одражава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финансијску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перформансу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пословног</w:t>
      </w:r>
      <w:r w:rsidR="003D6FC3" w:rsidRPr="008640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субјекта</w:t>
      </w:r>
      <w:r w:rsidR="003D6FC3" w:rsidRPr="00864050">
        <w:rPr>
          <w:b/>
          <w:color w:val="000000" w:themeColor="text1"/>
        </w:rPr>
        <w:t>:</w:t>
      </w:r>
    </w:p>
    <w:p w:rsidR="003D6FC3" w:rsidRPr="00864050" w:rsidRDefault="00DC6E2B" w:rsidP="003736F2">
      <w:pPr>
        <w:numPr>
          <w:ilvl w:val="1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биланс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стања</w:t>
      </w:r>
      <w:r w:rsidR="003D6FC3" w:rsidRPr="00864050">
        <w:rPr>
          <w:color w:val="000000" w:themeColor="text1"/>
        </w:rPr>
        <w:t xml:space="preserve"> – </w:t>
      </w:r>
      <w:r>
        <w:rPr>
          <w:color w:val="000000" w:themeColor="text1"/>
        </w:rPr>
        <w:t>извјештај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финансијском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положају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крају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периода</w:t>
      </w:r>
    </w:p>
    <w:p w:rsidR="003D6FC3" w:rsidRPr="00A468A6" w:rsidRDefault="00DC6E2B" w:rsidP="003736F2">
      <w:pPr>
        <w:numPr>
          <w:ilvl w:val="1"/>
          <w:numId w:val="17"/>
        </w:numPr>
        <w:jc w:val="both"/>
        <w:rPr>
          <w:color w:val="000000" w:themeColor="text1"/>
          <w:u w:val="single"/>
        </w:rPr>
      </w:pPr>
      <w:r w:rsidRPr="00A468A6">
        <w:rPr>
          <w:color w:val="000000" w:themeColor="text1"/>
          <w:u w:val="single"/>
        </w:rPr>
        <w:t>биланс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успјеха</w:t>
      </w:r>
      <w:r w:rsidR="003D6FC3" w:rsidRPr="00A468A6">
        <w:rPr>
          <w:color w:val="000000" w:themeColor="text1"/>
          <w:u w:val="single"/>
        </w:rPr>
        <w:t xml:space="preserve"> – </w:t>
      </w:r>
      <w:r w:rsidRPr="00A468A6">
        <w:rPr>
          <w:color w:val="000000" w:themeColor="text1"/>
          <w:u w:val="single"/>
        </w:rPr>
        <w:t>извјештај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о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свеобухватној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добити</w:t>
      </w:r>
      <w:r w:rsidR="003D6FC3" w:rsidRPr="00A468A6">
        <w:rPr>
          <w:color w:val="000000" w:themeColor="text1"/>
          <w:u w:val="single"/>
        </w:rPr>
        <w:t xml:space="preserve"> </w:t>
      </w:r>
      <w:r w:rsidRPr="00A468A6">
        <w:rPr>
          <w:color w:val="000000" w:themeColor="text1"/>
          <w:u w:val="single"/>
        </w:rPr>
        <w:t>периода</w:t>
      </w:r>
    </w:p>
    <w:p w:rsidR="003D6FC3" w:rsidRPr="00864050" w:rsidRDefault="00DC6E2B" w:rsidP="003736F2">
      <w:pPr>
        <w:numPr>
          <w:ilvl w:val="1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извјештај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новчаним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токовима</w:t>
      </w:r>
    </w:p>
    <w:p w:rsidR="003D6FC3" w:rsidRPr="00864050" w:rsidRDefault="00DC6E2B" w:rsidP="003736F2">
      <w:pPr>
        <w:numPr>
          <w:ilvl w:val="1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извјештај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промјенама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капиталу</w:t>
      </w:r>
      <w:r w:rsidR="003D6FC3" w:rsidRPr="00864050">
        <w:rPr>
          <w:color w:val="000000" w:themeColor="text1"/>
        </w:rPr>
        <w:t xml:space="preserve"> </w:t>
      </w:r>
      <w:r>
        <w:rPr>
          <w:color w:val="000000" w:themeColor="text1"/>
        </w:rPr>
        <w:t>т</w:t>
      </w:r>
      <w:r w:rsidR="00075003">
        <w:rPr>
          <w:color w:val="000000" w:themeColor="text1"/>
        </w:rPr>
        <w:t>о</w:t>
      </w:r>
      <w:r>
        <w:rPr>
          <w:color w:val="000000" w:themeColor="text1"/>
        </w:rPr>
        <w:t>ком</w:t>
      </w:r>
      <w:r w:rsidR="003D6FC3" w:rsidRPr="00864050">
        <w:rPr>
          <w:color w:val="000000" w:themeColor="text1"/>
        </w:rPr>
        <w:t xml:space="preserve"> </w:t>
      </w:r>
      <w:r w:rsidR="00075003">
        <w:rPr>
          <w:color w:val="000000" w:themeColor="text1"/>
        </w:rPr>
        <w:t>периода</w:t>
      </w:r>
    </w:p>
    <w:p w:rsidR="003D6FC3" w:rsidRDefault="003D6FC3" w:rsidP="003D6FC3">
      <w:pPr>
        <w:ind w:left="720"/>
        <w:jc w:val="both"/>
        <w:rPr>
          <w:color w:val="000000" w:themeColor="text1"/>
        </w:rPr>
      </w:pPr>
    </w:p>
    <w:p w:rsidR="00075003" w:rsidRPr="00075003" w:rsidRDefault="00075003" w:rsidP="003D6FC3">
      <w:pPr>
        <w:ind w:left="720"/>
        <w:jc w:val="both"/>
        <w:rPr>
          <w:color w:val="000000" w:themeColor="text1"/>
        </w:rPr>
      </w:pPr>
    </w:p>
    <w:p w:rsidR="003D6FC3" w:rsidRPr="00864050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bCs/>
          <w:iCs/>
          <w:color w:val="000000" w:themeColor="text1"/>
        </w:rPr>
        <w:t>Које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од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до</w:t>
      </w:r>
      <w:r w:rsidR="00075003">
        <w:rPr>
          <w:b/>
          <w:bCs/>
          <w:iCs/>
          <w:color w:val="000000" w:themeColor="text1"/>
        </w:rPr>
        <w:t>л</w:t>
      </w:r>
      <w:r>
        <w:rPr>
          <w:b/>
          <w:bCs/>
          <w:iCs/>
          <w:color w:val="000000" w:themeColor="text1"/>
        </w:rPr>
        <w:t>е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наведених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ставки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су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ставке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Извјештаја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о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финан</w:t>
      </w:r>
      <w:r w:rsidR="00075003">
        <w:rPr>
          <w:b/>
          <w:bCs/>
          <w:iCs/>
          <w:color w:val="000000" w:themeColor="text1"/>
        </w:rPr>
        <w:t>с</w:t>
      </w:r>
      <w:r>
        <w:rPr>
          <w:b/>
          <w:bCs/>
          <w:iCs/>
          <w:color w:val="000000" w:themeColor="text1"/>
        </w:rPr>
        <w:t>ијском</w:t>
      </w:r>
      <w:r w:rsidR="003D6FC3" w:rsidRPr="00864050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положају</w:t>
      </w:r>
      <w:r w:rsidR="003D6FC3" w:rsidRPr="00864050">
        <w:rPr>
          <w:b/>
          <w:bCs/>
          <w:iCs/>
          <w:color w:val="000000" w:themeColor="text1"/>
        </w:rPr>
        <w:t>:</w:t>
      </w:r>
    </w:p>
    <w:p w:rsidR="003D6FC3" w:rsidRPr="00A468A6" w:rsidRDefault="00DC6E2B" w:rsidP="003736F2">
      <w:pPr>
        <w:numPr>
          <w:ilvl w:val="1"/>
          <w:numId w:val="18"/>
        </w:numPr>
        <w:jc w:val="both"/>
        <w:rPr>
          <w:color w:val="000000" w:themeColor="text1"/>
          <w:u w:val="single"/>
        </w:rPr>
      </w:pPr>
      <w:r w:rsidRPr="00A468A6">
        <w:rPr>
          <w:bCs/>
          <w:iCs/>
          <w:color w:val="000000" w:themeColor="text1"/>
          <w:u w:val="single"/>
        </w:rPr>
        <w:t>изда</w:t>
      </w:r>
      <w:r w:rsidR="00075003" w:rsidRPr="00A468A6">
        <w:rPr>
          <w:bCs/>
          <w:iCs/>
          <w:color w:val="000000" w:themeColor="text1"/>
          <w:u w:val="single"/>
        </w:rPr>
        <w:t>т</w:t>
      </w:r>
      <w:r w:rsidRPr="00A468A6">
        <w:rPr>
          <w:bCs/>
          <w:iCs/>
          <w:color w:val="000000" w:themeColor="text1"/>
          <w:u w:val="single"/>
        </w:rPr>
        <w:t>и</w:t>
      </w:r>
      <w:r w:rsidR="003D6FC3" w:rsidRPr="00A468A6">
        <w:rPr>
          <w:bCs/>
          <w:iCs/>
          <w:color w:val="000000" w:themeColor="text1"/>
          <w:u w:val="single"/>
        </w:rPr>
        <w:t xml:space="preserve"> </w:t>
      </w:r>
      <w:r w:rsidRPr="00A468A6">
        <w:rPr>
          <w:bCs/>
          <w:iCs/>
          <w:color w:val="000000" w:themeColor="text1"/>
          <w:u w:val="single"/>
        </w:rPr>
        <w:t>капитал</w:t>
      </w:r>
      <w:r w:rsidR="003D6FC3" w:rsidRPr="00A468A6">
        <w:rPr>
          <w:bCs/>
          <w:iCs/>
          <w:color w:val="000000" w:themeColor="text1"/>
          <w:u w:val="single"/>
        </w:rPr>
        <w:t xml:space="preserve"> </w:t>
      </w:r>
      <w:r w:rsidRPr="00A468A6">
        <w:rPr>
          <w:bCs/>
          <w:iCs/>
          <w:color w:val="000000" w:themeColor="text1"/>
          <w:u w:val="single"/>
        </w:rPr>
        <w:t>и</w:t>
      </w:r>
      <w:r w:rsidR="003D6FC3" w:rsidRPr="00A468A6">
        <w:rPr>
          <w:bCs/>
          <w:iCs/>
          <w:color w:val="000000" w:themeColor="text1"/>
          <w:u w:val="single"/>
        </w:rPr>
        <w:t xml:space="preserve"> </w:t>
      </w:r>
      <w:r w:rsidRPr="00A468A6">
        <w:rPr>
          <w:bCs/>
          <w:iCs/>
          <w:color w:val="000000" w:themeColor="text1"/>
          <w:u w:val="single"/>
        </w:rPr>
        <w:t>резерве</w:t>
      </w:r>
      <w:r w:rsidR="003D6FC3" w:rsidRPr="00A468A6">
        <w:rPr>
          <w:bCs/>
          <w:iCs/>
          <w:color w:val="000000" w:themeColor="text1"/>
          <w:u w:val="single"/>
        </w:rPr>
        <w:t xml:space="preserve"> </w:t>
      </w:r>
      <w:r w:rsidRPr="00A468A6">
        <w:rPr>
          <w:bCs/>
          <w:iCs/>
          <w:color w:val="000000" w:themeColor="text1"/>
          <w:u w:val="single"/>
        </w:rPr>
        <w:t>који</w:t>
      </w:r>
      <w:r w:rsidR="003D6FC3" w:rsidRPr="00A468A6">
        <w:rPr>
          <w:bCs/>
          <w:iCs/>
          <w:color w:val="000000" w:themeColor="text1"/>
          <w:u w:val="single"/>
        </w:rPr>
        <w:t xml:space="preserve"> </w:t>
      </w:r>
      <w:r w:rsidRPr="00A468A6">
        <w:rPr>
          <w:bCs/>
          <w:iCs/>
          <w:color w:val="000000" w:themeColor="text1"/>
          <w:u w:val="single"/>
        </w:rPr>
        <w:t>припадају</w:t>
      </w:r>
      <w:r w:rsidR="003D6FC3" w:rsidRPr="00A468A6">
        <w:rPr>
          <w:bCs/>
          <w:iCs/>
          <w:color w:val="000000" w:themeColor="text1"/>
          <w:u w:val="single"/>
        </w:rPr>
        <w:t xml:space="preserve"> </w:t>
      </w:r>
      <w:r w:rsidRPr="00A468A6">
        <w:rPr>
          <w:bCs/>
          <w:iCs/>
          <w:color w:val="000000" w:themeColor="text1"/>
          <w:u w:val="single"/>
        </w:rPr>
        <w:t>власницима</w:t>
      </w:r>
      <w:r w:rsidR="003D6FC3" w:rsidRPr="00A468A6">
        <w:rPr>
          <w:bCs/>
          <w:iCs/>
          <w:color w:val="000000" w:themeColor="text1"/>
          <w:u w:val="single"/>
        </w:rPr>
        <w:t xml:space="preserve"> </w:t>
      </w:r>
      <w:r w:rsidRPr="00A468A6">
        <w:rPr>
          <w:bCs/>
          <w:iCs/>
          <w:color w:val="000000" w:themeColor="text1"/>
          <w:u w:val="single"/>
        </w:rPr>
        <w:t>матице</w:t>
      </w:r>
    </w:p>
    <w:p w:rsidR="003D6FC3" w:rsidRPr="00A468A6" w:rsidRDefault="00DC6E2B" w:rsidP="003736F2">
      <w:pPr>
        <w:numPr>
          <w:ilvl w:val="1"/>
          <w:numId w:val="18"/>
        </w:numPr>
        <w:jc w:val="both"/>
        <w:rPr>
          <w:color w:val="000000" w:themeColor="text1"/>
          <w:u w:val="single"/>
        </w:rPr>
      </w:pPr>
      <w:r w:rsidRPr="00A468A6">
        <w:rPr>
          <w:bCs/>
          <w:iCs/>
          <w:color w:val="000000" w:themeColor="text1"/>
          <w:u w:val="single"/>
        </w:rPr>
        <w:t>залихе</w:t>
      </w:r>
    </w:p>
    <w:p w:rsidR="003D6FC3" w:rsidRPr="00864050" w:rsidRDefault="00DC6E2B" w:rsidP="003736F2">
      <w:pPr>
        <w:numPr>
          <w:ilvl w:val="1"/>
          <w:numId w:val="18"/>
        </w:numPr>
        <w:jc w:val="both"/>
        <w:rPr>
          <w:color w:val="000000" w:themeColor="text1"/>
        </w:rPr>
      </w:pPr>
      <w:r>
        <w:rPr>
          <w:bCs/>
          <w:color w:val="000000" w:themeColor="text1"/>
        </w:rPr>
        <w:t>финан</w:t>
      </w:r>
      <w:r w:rsidR="00075003">
        <w:rPr>
          <w:bCs/>
          <w:color w:val="000000" w:themeColor="text1"/>
        </w:rPr>
        <w:t>с</w:t>
      </w:r>
      <w:r>
        <w:rPr>
          <w:bCs/>
          <w:color w:val="000000" w:themeColor="text1"/>
        </w:rPr>
        <w:t>ијски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трошкови</w:t>
      </w:r>
    </w:p>
    <w:p w:rsidR="003D6FC3" w:rsidRPr="00A468A6" w:rsidRDefault="00DC6E2B" w:rsidP="003736F2">
      <w:pPr>
        <w:numPr>
          <w:ilvl w:val="1"/>
          <w:numId w:val="18"/>
        </w:numPr>
        <w:jc w:val="both"/>
        <w:rPr>
          <w:color w:val="000000" w:themeColor="text1"/>
          <w:u w:val="single"/>
        </w:rPr>
      </w:pPr>
      <w:r w:rsidRPr="00A468A6">
        <w:rPr>
          <w:bCs/>
          <w:iCs/>
          <w:color w:val="000000" w:themeColor="text1"/>
          <w:u w:val="single"/>
        </w:rPr>
        <w:t>резерви</w:t>
      </w:r>
      <w:r w:rsidR="00075003" w:rsidRPr="00A468A6">
        <w:rPr>
          <w:bCs/>
          <w:iCs/>
          <w:color w:val="000000" w:themeColor="text1"/>
          <w:u w:val="single"/>
        </w:rPr>
        <w:t>с</w:t>
      </w:r>
      <w:r w:rsidRPr="00A468A6">
        <w:rPr>
          <w:bCs/>
          <w:iCs/>
          <w:color w:val="000000" w:themeColor="text1"/>
          <w:u w:val="single"/>
        </w:rPr>
        <w:t>ања</w:t>
      </w:r>
    </w:p>
    <w:p w:rsidR="003D6FC3" w:rsidRPr="00864050" w:rsidRDefault="00DC6E2B" w:rsidP="003736F2">
      <w:pPr>
        <w:numPr>
          <w:ilvl w:val="1"/>
          <w:numId w:val="18"/>
        </w:numPr>
        <w:jc w:val="both"/>
        <w:rPr>
          <w:color w:val="000000" w:themeColor="text1"/>
        </w:rPr>
      </w:pPr>
      <w:r>
        <w:rPr>
          <w:bCs/>
          <w:color w:val="000000" w:themeColor="text1"/>
        </w:rPr>
        <w:t>уд</w:t>
      </w:r>
      <w:r w:rsidR="00075003">
        <w:rPr>
          <w:bCs/>
          <w:color w:val="000000" w:themeColor="text1"/>
        </w:rPr>
        <w:t>ио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осталој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свеобухватној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добити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придружених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друштава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заједничких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</w:t>
      </w:r>
      <w:r w:rsidR="00075003">
        <w:rPr>
          <w:bCs/>
          <w:color w:val="000000" w:themeColor="text1"/>
        </w:rPr>
        <w:t>ду</w:t>
      </w:r>
      <w:r>
        <w:rPr>
          <w:bCs/>
          <w:color w:val="000000" w:themeColor="text1"/>
        </w:rPr>
        <w:t>хвата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обрачуна</w:t>
      </w:r>
      <w:r w:rsidR="00075003">
        <w:rPr>
          <w:bCs/>
          <w:color w:val="000000" w:themeColor="text1"/>
        </w:rPr>
        <w:t>т</w:t>
      </w:r>
      <w:r>
        <w:rPr>
          <w:bCs/>
          <w:color w:val="000000" w:themeColor="text1"/>
        </w:rPr>
        <w:t>их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методом</w:t>
      </w:r>
      <w:r w:rsidR="003D6FC3" w:rsidRPr="0086405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удјела</w:t>
      </w:r>
    </w:p>
    <w:p w:rsidR="003D6FC3" w:rsidRDefault="003D6FC3" w:rsidP="003D6FC3">
      <w:pPr>
        <w:ind w:left="720"/>
        <w:jc w:val="both"/>
        <w:rPr>
          <w:color w:val="000000" w:themeColor="text1"/>
        </w:rPr>
      </w:pPr>
    </w:p>
    <w:p w:rsidR="00075003" w:rsidRPr="00075003" w:rsidRDefault="00075003" w:rsidP="003D6FC3">
      <w:pPr>
        <w:ind w:left="720"/>
        <w:jc w:val="both"/>
        <w:rPr>
          <w:color w:val="000000" w:themeColor="text1"/>
        </w:rPr>
      </w:pPr>
    </w:p>
    <w:p w:rsidR="003D6FC3" w:rsidRPr="00DC6E2B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Стално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средство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које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класифи</w:t>
      </w:r>
      <w:r w:rsidR="00075003">
        <w:rPr>
          <w:b/>
          <w:color w:val="000000" w:themeColor="text1"/>
        </w:rPr>
        <w:t>кује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као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средство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намијењено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продаји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се</w:t>
      </w:r>
      <w:r w:rsidR="003D6FC3" w:rsidRPr="00DC6E2B">
        <w:rPr>
          <w:b/>
          <w:color w:val="000000" w:themeColor="text1"/>
        </w:rPr>
        <w:t xml:space="preserve"> </w:t>
      </w:r>
      <w:r w:rsidR="00FF20F8">
        <w:rPr>
          <w:b/>
          <w:color w:val="000000" w:themeColor="text1"/>
        </w:rPr>
        <w:t xml:space="preserve">вреднује </w:t>
      </w:r>
      <w:r>
        <w:rPr>
          <w:b/>
          <w:color w:val="000000" w:themeColor="text1"/>
        </w:rPr>
        <w:t>по</w:t>
      </w:r>
      <w:r w:rsidR="003D6FC3" w:rsidRPr="00DC6E2B">
        <w:rPr>
          <w:b/>
          <w:color w:val="000000" w:themeColor="text1"/>
        </w:rPr>
        <w:t>:</w:t>
      </w:r>
    </w:p>
    <w:p w:rsidR="003D6FC3" w:rsidRPr="00864050" w:rsidRDefault="00DC6E2B" w:rsidP="003736F2">
      <w:pPr>
        <w:pStyle w:val="pododlomak"/>
        <w:numPr>
          <w:ilvl w:val="1"/>
          <w:numId w:val="1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књиговодственој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вриједности</w:t>
      </w:r>
    </w:p>
    <w:p w:rsidR="003D6FC3" w:rsidRPr="00864050" w:rsidRDefault="00DC6E2B" w:rsidP="003736F2">
      <w:pPr>
        <w:pStyle w:val="pododlomak"/>
        <w:numPr>
          <w:ilvl w:val="1"/>
          <w:numId w:val="1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фер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вриједности</w:t>
      </w:r>
    </w:p>
    <w:p w:rsidR="003D6FC3" w:rsidRPr="00A468A6" w:rsidRDefault="00DC6E2B" w:rsidP="003736F2">
      <w:pPr>
        <w:pStyle w:val="pododlomak"/>
        <w:numPr>
          <w:ilvl w:val="1"/>
          <w:numId w:val="1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књиговодственој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или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фер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вриједности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умањеној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за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трошкове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продаје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, </w:t>
      </w:r>
      <w:r w:rsidR="00FF20F8" w:rsidRPr="00A468A6">
        <w:rPr>
          <w:rFonts w:ascii="Times New Roman"/>
          <w:color w:val="000000" w:themeColor="text1"/>
          <w:sz w:val="24"/>
          <w:szCs w:val="24"/>
          <w:u w:val="single"/>
        </w:rPr>
        <w:t>за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висно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шт</w:t>
      </w:r>
      <w:r w:rsidR="00FF20F8" w:rsidRPr="00A468A6">
        <w:rPr>
          <w:rFonts w:ascii="Times New Roman"/>
          <w:color w:val="000000" w:themeColor="text1"/>
          <w:sz w:val="24"/>
          <w:szCs w:val="24"/>
          <w:u w:val="single"/>
        </w:rPr>
        <w:t>а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је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ниже</w:t>
      </w:r>
    </w:p>
    <w:p w:rsidR="003D6FC3" w:rsidRPr="00864050" w:rsidRDefault="00DC6E2B" w:rsidP="003736F2">
      <w:pPr>
        <w:pStyle w:val="pododlomak"/>
        <w:numPr>
          <w:ilvl w:val="1"/>
          <w:numId w:val="1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по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већој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од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двије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/>
          <w:color w:val="000000" w:themeColor="text1"/>
          <w:sz w:val="24"/>
          <w:szCs w:val="24"/>
          <w:lang w:val="hr-HR"/>
        </w:rPr>
        <w:t>књиговодствене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или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фер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вриједности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умањене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за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трошкове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продаје</w:t>
      </w:r>
    </w:p>
    <w:p w:rsidR="003D6FC3" w:rsidRDefault="003D6FC3" w:rsidP="003D6FC3">
      <w:pPr>
        <w:pStyle w:val="pododlomak"/>
        <w:spacing w:after="0" w:line="240" w:lineRule="auto"/>
        <w:ind w:left="720" w:firstLine="0"/>
        <w:rPr>
          <w:rFonts w:ascii="Times New Roman"/>
          <w:color w:val="000000" w:themeColor="text1"/>
          <w:sz w:val="24"/>
          <w:szCs w:val="24"/>
        </w:rPr>
      </w:pPr>
    </w:p>
    <w:p w:rsidR="00075003" w:rsidRPr="00075003" w:rsidRDefault="00075003" w:rsidP="003D6FC3">
      <w:pPr>
        <w:pStyle w:val="pododlomak"/>
        <w:spacing w:after="0" w:line="240" w:lineRule="auto"/>
        <w:ind w:left="720" w:firstLine="0"/>
        <w:rPr>
          <w:rFonts w:ascii="Times New Roman"/>
          <w:color w:val="000000" w:themeColor="text1"/>
          <w:sz w:val="24"/>
          <w:szCs w:val="24"/>
        </w:rPr>
      </w:pPr>
    </w:p>
    <w:p w:rsidR="003D6FC3" w:rsidRPr="00DC6E2B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Пословни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субјект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за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обрачун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амортизације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новонабављеног</w:t>
      </w:r>
      <w:r w:rsidR="003D6FC3" w:rsidRPr="00DC6E2B">
        <w:rPr>
          <w:b/>
          <w:color w:val="000000" w:themeColor="text1"/>
        </w:rPr>
        <w:t xml:space="preserve"> </w:t>
      </w:r>
      <w:r w:rsidR="00075003">
        <w:rPr>
          <w:b/>
          <w:color w:val="000000" w:themeColor="text1"/>
        </w:rPr>
        <w:t>по</w:t>
      </w:r>
      <w:r>
        <w:rPr>
          <w:b/>
          <w:color w:val="000000" w:themeColor="text1"/>
        </w:rPr>
        <w:t>строј</w:t>
      </w:r>
      <w:r w:rsidR="00075003">
        <w:rPr>
          <w:b/>
          <w:color w:val="000000" w:themeColor="text1"/>
        </w:rPr>
        <w:t>ења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користи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методу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јединице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производа</w:t>
      </w:r>
      <w:r w:rsidR="003D6FC3" w:rsidRPr="00DC6E2B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функционалну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методу</w:t>
      </w:r>
      <w:r w:rsidR="003D6FC3" w:rsidRPr="00DC6E2B">
        <w:rPr>
          <w:b/>
          <w:color w:val="000000" w:themeColor="text1"/>
        </w:rPr>
        <w:t xml:space="preserve">). </w:t>
      </w:r>
      <w:r>
        <w:rPr>
          <w:b/>
          <w:color w:val="000000" w:themeColor="text1"/>
        </w:rPr>
        <w:t>За</w:t>
      </w:r>
      <w:r w:rsidR="003D6FC3" w:rsidRPr="00DC6E2B">
        <w:rPr>
          <w:b/>
          <w:color w:val="000000" w:themeColor="text1"/>
        </w:rPr>
        <w:t xml:space="preserve"> </w:t>
      </w:r>
      <w:r w:rsidR="00075003">
        <w:rPr>
          <w:b/>
          <w:color w:val="000000" w:themeColor="text1"/>
        </w:rPr>
        <w:t>по</w:t>
      </w:r>
      <w:r>
        <w:rPr>
          <w:b/>
          <w:color w:val="000000" w:themeColor="text1"/>
        </w:rPr>
        <w:t>строј</w:t>
      </w:r>
      <w:r w:rsidR="00075003">
        <w:rPr>
          <w:b/>
          <w:color w:val="000000" w:themeColor="text1"/>
        </w:rPr>
        <w:t>ење</w:t>
      </w:r>
      <w:r w:rsidR="003D6FC3" w:rsidRPr="00DC6E2B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чија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набавна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вриједност</w:t>
      </w:r>
      <w:r w:rsidR="003D6FC3" w:rsidRPr="00DC6E2B">
        <w:rPr>
          <w:b/>
          <w:color w:val="000000" w:themeColor="text1"/>
        </w:rPr>
        <w:t xml:space="preserve"> 50.000 </w:t>
      </w:r>
      <w:r>
        <w:rPr>
          <w:b/>
          <w:color w:val="000000" w:themeColor="text1"/>
        </w:rPr>
        <w:t>КМ</w:t>
      </w:r>
      <w:r w:rsidR="003D6FC3" w:rsidRPr="00DC6E2B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процијењен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учинак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од</w:t>
      </w:r>
      <w:r w:rsidR="003D6FC3" w:rsidRPr="00DC6E2B">
        <w:rPr>
          <w:b/>
          <w:color w:val="000000" w:themeColor="text1"/>
        </w:rPr>
        <w:t xml:space="preserve"> 100.000 </w:t>
      </w:r>
      <w:r>
        <w:rPr>
          <w:b/>
          <w:color w:val="000000" w:themeColor="text1"/>
        </w:rPr>
        <w:t>производа</w:t>
      </w:r>
      <w:r w:rsidR="003D6FC3" w:rsidRPr="00DC6E2B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Након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стављања</w:t>
      </w:r>
      <w:r w:rsidR="003D6FC3" w:rsidRPr="00DC6E2B">
        <w:rPr>
          <w:b/>
          <w:color w:val="000000" w:themeColor="text1"/>
        </w:rPr>
        <w:t xml:space="preserve"> </w:t>
      </w:r>
      <w:r w:rsidR="00075003">
        <w:rPr>
          <w:b/>
          <w:color w:val="000000" w:themeColor="text1"/>
        </w:rPr>
        <w:t>постројења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у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функцију</w:t>
      </w:r>
      <w:r w:rsidR="003D6FC3" w:rsidRPr="00DC6E2B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у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првом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обрачунском</w:t>
      </w:r>
      <w:r w:rsidR="003D6FC3" w:rsidRPr="00DC6E2B">
        <w:rPr>
          <w:b/>
          <w:color w:val="000000" w:themeColor="text1"/>
        </w:rPr>
        <w:t xml:space="preserve"> </w:t>
      </w:r>
      <w:r w:rsidR="00075003">
        <w:rPr>
          <w:b/>
          <w:color w:val="000000" w:themeColor="text1"/>
        </w:rPr>
        <w:t>периоду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произведено</w:t>
      </w:r>
      <w:r w:rsidR="003D6FC3" w:rsidRPr="00DC6E2B">
        <w:rPr>
          <w:b/>
          <w:color w:val="000000" w:themeColor="text1"/>
        </w:rPr>
        <w:t xml:space="preserve"> 20.000 </w:t>
      </w:r>
      <w:r>
        <w:rPr>
          <w:b/>
          <w:color w:val="000000" w:themeColor="text1"/>
        </w:rPr>
        <w:t>производа</w:t>
      </w:r>
      <w:r w:rsidR="003D6FC3" w:rsidRPr="00DC6E2B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Износ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амортизације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за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обрачунск</w:t>
      </w:r>
      <w:r w:rsidR="00075003">
        <w:rPr>
          <w:b/>
          <w:color w:val="000000" w:themeColor="text1"/>
        </w:rPr>
        <w:t>и период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</w:t>
      </w:r>
      <w:r w:rsidR="003D6FC3" w:rsidRPr="00DC6E2B">
        <w:rPr>
          <w:b/>
          <w:color w:val="000000" w:themeColor="text1"/>
        </w:rPr>
        <w:t>:</w:t>
      </w:r>
    </w:p>
    <w:p w:rsidR="003D6FC3" w:rsidRPr="00864050" w:rsidRDefault="003D6FC3" w:rsidP="003736F2">
      <w:pPr>
        <w:pStyle w:val="pododlomak"/>
        <w:numPr>
          <w:ilvl w:val="1"/>
          <w:numId w:val="20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4.000 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КМ</w:t>
      </w:r>
    </w:p>
    <w:p w:rsidR="003D6FC3" w:rsidRPr="00864050" w:rsidRDefault="003D6FC3" w:rsidP="003736F2">
      <w:pPr>
        <w:pStyle w:val="pododlomak"/>
        <w:numPr>
          <w:ilvl w:val="1"/>
          <w:numId w:val="20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5.000 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КМ</w:t>
      </w:r>
    </w:p>
    <w:p w:rsidR="003D6FC3" w:rsidRPr="00A468A6" w:rsidRDefault="003D6FC3" w:rsidP="003736F2">
      <w:pPr>
        <w:pStyle w:val="pododlomak"/>
        <w:numPr>
          <w:ilvl w:val="1"/>
          <w:numId w:val="20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10.000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КМ</w:t>
      </w:r>
    </w:p>
    <w:p w:rsidR="003D6FC3" w:rsidRPr="00864050" w:rsidRDefault="003D6FC3" w:rsidP="003736F2">
      <w:pPr>
        <w:pStyle w:val="pododlomak"/>
        <w:numPr>
          <w:ilvl w:val="1"/>
          <w:numId w:val="20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20.000 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КМ</w:t>
      </w:r>
    </w:p>
    <w:p w:rsidR="003D6FC3" w:rsidRDefault="003D6FC3" w:rsidP="003D6FC3">
      <w:pPr>
        <w:pStyle w:val="pododlomak"/>
        <w:spacing w:after="0" w:line="240" w:lineRule="auto"/>
        <w:ind w:left="720" w:firstLine="0"/>
        <w:rPr>
          <w:rFonts w:ascii="Times New Roman"/>
          <w:color w:val="000000" w:themeColor="text1"/>
          <w:sz w:val="24"/>
          <w:szCs w:val="24"/>
        </w:rPr>
      </w:pPr>
    </w:p>
    <w:p w:rsidR="00075003" w:rsidRPr="00075003" w:rsidRDefault="00075003" w:rsidP="003D6FC3">
      <w:pPr>
        <w:pStyle w:val="pododlomak"/>
        <w:spacing w:after="0" w:line="240" w:lineRule="auto"/>
        <w:ind w:left="720" w:firstLine="0"/>
        <w:rPr>
          <w:rFonts w:ascii="Times New Roman"/>
          <w:color w:val="000000" w:themeColor="text1"/>
          <w:sz w:val="24"/>
          <w:szCs w:val="24"/>
        </w:rPr>
      </w:pPr>
    </w:p>
    <w:p w:rsidR="003D6FC3" w:rsidRPr="00DC6E2B" w:rsidRDefault="00DC6E2B" w:rsidP="003736F2">
      <w:pPr>
        <w:numPr>
          <w:ilvl w:val="0"/>
          <w:numId w:val="2"/>
        </w:numPr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Заокружите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т</w:t>
      </w:r>
      <w:r w:rsidR="00075003">
        <w:rPr>
          <w:b/>
          <w:color w:val="000000" w:themeColor="text1"/>
        </w:rPr>
        <w:t>а</w:t>
      </w:r>
      <w:r>
        <w:rPr>
          <w:b/>
          <w:color w:val="000000" w:themeColor="text1"/>
        </w:rPr>
        <w:t>чне</w:t>
      </w:r>
      <w:r w:rsidR="003D6FC3" w:rsidRPr="00DC6E2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тврдње</w:t>
      </w:r>
      <w:r w:rsidR="003D6FC3" w:rsidRPr="00DC6E2B">
        <w:rPr>
          <w:b/>
          <w:color w:val="000000" w:themeColor="text1"/>
        </w:rPr>
        <w:t>:</w:t>
      </w:r>
    </w:p>
    <w:p w:rsidR="003D6FC3" w:rsidRPr="00864050" w:rsidRDefault="00DC6E2B" w:rsidP="003736F2">
      <w:pPr>
        <w:pStyle w:val="pododlomak"/>
        <w:numPr>
          <w:ilvl w:val="1"/>
          <w:numId w:val="21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правн</w:t>
      </w:r>
      <w:r w:rsidR="00075003">
        <w:rPr>
          <w:rFonts w:ascii="Times New Roman"/>
          <w:color w:val="000000" w:themeColor="text1"/>
          <w:sz w:val="24"/>
          <w:szCs w:val="24"/>
        </w:rPr>
        <w:t>о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 w:rsidR="00075003">
        <w:rPr>
          <w:rFonts w:ascii="Times New Roman"/>
          <w:color w:val="000000" w:themeColor="text1"/>
          <w:sz w:val="24"/>
          <w:szCs w:val="24"/>
        </w:rPr>
        <w:t>лице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признаје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потенцијална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(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непредвидива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)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средства</w:t>
      </w:r>
    </w:p>
    <w:p w:rsidR="003D6FC3" w:rsidRPr="00A468A6" w:rsidRDefault="00075003" w:rsidP="003736F2">
      <w:pPr>
        <w:pStyle w:val="pododlomak"/>
        <w:numPr>
          <w:ilvl w:val="1"/>
          <w:numId w:val="21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правн</w:t>
      </w:r>
      <w:r w:rsidRPr="00A468A6">
        <w:rPr>
          <w:rFonts w:ascii="Times New Roman"/>
          <w:color w:val="000000" w:themeColor="text1"/>
          <w:sz w:val="24"/>
          <w:szCs w:val="24"/>
          <w:u w:val="single"/>
        </w:rPr>
        <w:t>о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</w:rPr>
        <w:t>лице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признаје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потенцијална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(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непредвидива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)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средства</w:t>
      </w:r>
    </w:p>
    <w:p w:rsidR="003D6FC3" w:rsidRPr="00864050" w:rsidRDefault="00075003" w:rsidP="003736F2">
      <w:pPr>
        <w:pStyle w:val="pododlomak"/>
        <w:numPr>
          <w:ilvl w:val="1"/>
          <w:numId w:val="21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правн</w:t>
      </w:r>
      <w:r>
        <w:rPr>
          <w:rFonts w:ascii="Times New Roman"/>
          <w:color w:val="000000" w:themeColor="text1"/>
          <w:sz w:val="24"/>
          <w:szCs w:val="24"/>
        </w:rPr>
        <w:t>о</w:t>
      </w:r>
      <w:r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</w:rPr>
        <w:t>лице</w:t>
      </w:r>
      <w:r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признаје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потенцијалне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 (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непредвидиве</w:t>
      </w:r>
      <w:r w:rsidR="003D6FC3" w:rsidRPr="00864050">
        <w:rPr>
          <w:rFonts w:ascii="Times New Roman"/>
          <w:color w:val="000000" w:themeColor="text1"/>
          <w:sz w:val="24"/>
          <w:szCs w:val="24"/>
          <w:lang w:val="hr-HR"/>
        </w:rPr>
        <w:t xml:space="preserve">) 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об</w:t>
      </w:r>
      <w:r>
        <w:rPr>
          <w:rFonts w:ascii="Times New Roman"/>
          <w:color w:val="000000" w:themeColor="text1"/>
          <w:sz w:val="24"/>
          <w:szCs w:val="24"/>
        </w:rPr>
        <w:t>а</w:t>
      </w:r>
      <w:r w:rsidR="00DC6E2B">
        <w:rPr>
          <w:rFonts w:ascii="Times New Roman"/>
          <w:color w:val="000000" w:themeColor="text1"/>
          <w:sz w:val="24"/>
          <w:szCs w:val="24"/>
          <w:lang w:val="hr-HR"/>
        </w:rPr>
        <w:t>везе</w:t>
      </w:r>
    </w:p>
    <w:p w:rsidR="003D6FC3" w:rsidRPr="00A468A6" w:rsidRDefault="00075003" w:rsidP="003736F2">
      <w:pPr>
        <w:pStyle w:val="pododlomak"/>
        <w:numPr>
          <w:ilvl w:val="1"/>
          <w:numId w:val="21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правн</w:t>
      </w:r>
      <w:r w:rsidRPr="00A468A6">
        <w:rPr>
          <w:rFonts w:ascii="Times New Roman"/>
          <w:color w:val="000000" w:themeColor="text1"/>
          <w:sz w:val="24"/>
          <w:szCs w:val="24"/>
          <w:u w:val="single"/>
        </w:rPr>
        <w:t>о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Pr="00A468A6">
        <w:rPr>
          <w:rFonts w:ascii="Times New Roman"/>
          <w:color w:val="000000" w:themeColor="text1"/>
          <w:sz w:val="24"/>
          <w:szCs w:val="24"/>
          <w:u w:val="single"/>
        </w:rPr>
        <w:t>лице</w:t>
      </w:r>
      <w:r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признаје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потенцијалне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(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непредвидиве</w:t>
      </w:r>
      <w:r w:rsidR="003D6FC3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) 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об</w:t>
      </w:r>
      <w:r w:rsidRPr="00A468A6">
        <w:rPr>
          <w:rFonts w:ascii="Times New Roman"/>
          <w:color w:val="000000" w:themeColor="text1"/>
          <w:sz w:val="24"/>
          <w:szCs w:val="24"/>
          <w:u w:val="single"/>
        </w:rPr>
        <w:t>а</w:t>
      </w:r>
      <w:r w:rsidR="00DC6E2B" w:rsidRPr="00A468A6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везе</w:t>
      </w:r>
    </w:p>
    <w:p w:rsidR="003D6FC3" w:rsidRPr="00864050" w:rsidRDefault="003D6FC3" w:rsidP="003D6FC3">
      <w:pPr>
        <w:pStyle w:val="pododlomak"/>
        <w:spacing w:after="0" w:line="240" w:lineRule="auto"/>
        <w:ind w:left="720" w:firstLine="0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</w:p>
    <w:p w:rsidR="00DC0C18" w:rsidRPr="00DC0C18" w:rsidRDefault="00DC0C18" w:rsidP="00862438">
      <w:pPr>
        <w:jc w:val="both"/>
        <w:rPr>
          <w:b/>
        </w:rPr>
      </w:pPr>
    </w:p>
    <w:p w:rsidR="0064701C" w:rsidRPr="00CF5D5A" w:rsidRDefault="0064701C" w:rsidP="00CF5D5A">
      <w:pPr>
        <w:ind w:left="360"/>
        <w:jc w:val="both"/>
        <w:rPr>
          <w:i/>
          <w:lang w:val="sr-Cyrl-CS"/>
        </w:rPr>
      </w:pPr>
    </w:p>
    <w:p w:rsidR="0064701C" w:rsidRPr="00862438" w:rsidRDefault="009C1897" w:rsidP="00CF5D5A">
      <w:pPr>
        <w:jc w:val="both"/>
        <w:rPr>
          <w:b/>
          <w:lang w:val="ru-RU"/>
        </w:rPr>
      </w:pPr>
      <w:r>
        <w:rPr>
          <w:b/>
          <w:lang w:val="sr-Cyrl-CS"/>
        </w:rPr>
        <w:br w:type="page"/>
      </w:r>
      <w:r w:rsidR="0064701C" w:rsidRPr="00862438">
        <w:rPr>
          <w:b/>
          <w:lang w:val="sr-Cyrl-CS"/>
        </w:rPr>
        <w:lastRenderedPageBreak/>
        <w:t>ЗАДА</w:t>
      </w:r>
      <w:r w:rsidR="0064701C" w:rsidRPr="00862438">
        <w:rPr>
          <w:b/>
          <w:lang w:val="ru-RU"/>
        </w:rPr>
        <w:t>ЦИ</w:t>
      </w:r>
    </w:p>
    <w:p w:rsidR="0064701C" w:rsidRPr="00862438" w:rsidRDefault="0064701C" w:rsidP="00CF5D5A">
      <w:pPr>
        <w:jc w:val="both"/>
        <w:rPr>
          <w:b/>
          <w:lang w:val="ru-RU"/>
        </w:rPr>
      </w:pPr>
    </w:p>
    <w:p w:rsidR="0064701C" w:rsidRDefault="0064701C" w:rsidP="00CF5D5A">
      <w:pPr>
        <w:jc w:val="both"/>
        <w:rPr>
          <w:b/>
        </w:rPr>
      </w:pPr>
      <w:r w:rsidRPr="00862438">
        <w:rPr>
          <w:b/>
          <w:lang w:val="ru-RU"/>
        </w:rPr>
        <w:t>Задатак број 1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Производно предузеће је у току децембра евидентирало сљедеће промјене на залихама материјала ''А'' који се користи као основни материјал у производњи залиха учинака: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01.12. Почетно стање  1.000 кг по 10,00 КМ/кг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05.12. Набавка             1.000 кг по 12,00 КМ/кг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 xml:space="preserve">10.12. Издатница         1.000 кг 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15.12. Набавка                500 кг по 13,00 КМ/кг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20.12. Издатница            500 кг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25.12. Набавка             1.000 кг по 14,00 КМ/кг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30.12. Издатница            500 кг</w:t>
      </w:r>
    </w:p>
    <w:p w:rsidR="00713D3F" w:rsidRDefault="00713D3F" w:rsidP="00713D3F">
      <w:pPr>
        <w:jc w:val="both"/>
        <w:rPr>
          <w:lang w:val="sr-Cyrl-CS"/>
        </w:rPr>
      </w:pPr>
      <w:r>
        <w:rPr>
          <w:lang w:val="sr-Cyrl-CS"/>
        </w:rPr>
        <w:t>Предузеће залихе материјала прати по стварним набавним цијенама.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а) израчунати вриједност залиха материјала на крају децембра ако се набавна вриједност утрошених залиха рачуна помоћу методе пондерисане просјечне цијене, а залихе се прате према периодичном (дисконтинуираном) систему</w:t>
      </w:r>
    </w:p>
    <w:p w:rsidR="00A468A6" w:rsidRPr="006E60CF" w:rsidRDefault="00A468A6" w:rsidP="00A468A6">
      <w:pPr>
        <w:jc w:val="right"/>
        <w:rPr>
          <w:b/>
          <w:lang w:val="sr-Cyrl-CS"/>
        </w:rPr>
      </w:pPr>
      <w:r w:rsidRPr="006E60CF">
        <w:rPr>
          <w:b/>
          <w:lang w:val="sr-Cyrl-CS"/>
        </w:rPr>
        <w:t>(10 бодова)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 xml:space="preserve">б) израчунати вриједност залиха материјала на крају децембра ако се набавна вриједност утрошених залиха рачуна помоћу </w:t>
      </w:r>
      <w:r>
        <w:t>FIFO</w:t>
      </w:r>
      <w:r w:rsidRPr="00C7165C">
        <w:rPr>
          <w:lang w:val="ru-RU"/>
        </w:rPr>
        <w:t xml:space="preserve"> </w:t>
      </w:r>
      <w:r>
        <w:rPr>
          <w:lang w:val="sr-Cyrl-CS"/>
        </w:rPr>
        <w:t>методе, а залихе се прате према сталном (континуираном) систему</w:t>
      </w:r>
    </w:p>
    <w:p w:rsidR="00A468A6" w:rsidRPr="006E60CF" w:rsidRDefault="00A468A6" w:rsidP="00A468A6">
      <w:pPr>
        <w:jc w:val="right"/>
        <w:rPr>
          <w:b/>
          <w:lang w:val="sr-Cyrl-CS"/>
        </w:rPr>
      </w:pPr>
      <w:r w:rsidRPr="006E60CF">
        <w:rPr>
          <w:b/>
          <w:lang w:val="sr-Cyrl-CS"/>
        </w:rPr>
        <w:t>(10 бодова)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в) објаснити коју би методу праћења залиха материјала било најлогичније изабрати од стране управе предузећа која води политику минимализације добитка и да ли би такав избор био у складу са релевантним рачуноводственим стандардима</w:t>
      </w:r>
    </w:p>
    <w:p w:rsidR="00A468A6" w:rsidRPr="006E60CF" w:rsidRDefault="00A468A6" w:rsidP="00A468A6">
      <w:pPr>
        <w:jc w:val="right"/>
        <w:rPr>
          <w:b/>
          <w:lang w:val="sr-Cyrl-CS"/>
        </w:rPr>
      </w:pPr>
      <w:r w:rsidRPr="006E60CF">
        <w:rPr>
          <w:b/>
          <w:lang w:val="sr-Cyrl-CS"/>
        </w:rPr>
        <w:t>(10 бодова)</w:t>
      </w:r>
    </w:p>
    <w:p w:rsidR="00A468A6" w:rsidRDefault="00A468A6" w:rsidP="00A468A6">
      <w:pPr>
        <w:jc w:val="both"/>
        <w:rPr>
          <w:lang w:val="sr-Cyrl-CS"/>
        </w:rPr>
      </w:pPr>
    </w:p>
    <w:p w:rsidR="00A468A6" w:rsidRPr="006E60CF" w:rsidRDefault="00A468A6" w:rsidP="00A468A6">
      <w:pPr>
        <w:jc w:val="both"/>
        <w:rPr>
          <w:b/>
          <w:u w:val="single"/>
          <w:lang w:val="sr-Cyrl-CS"/>
        </w:rPr>
      </w:pPr>
      <w:r w:rsidRPr="006E60CF">
        <w:rPr>
          <w:b/>
          <w:u w:val="single"/>
          <w:lang w:val="sr-Cyrl-CS"/>
        </w:rPr>
        <w:t>Рјешење</w:t>
      </w:r>
      <w:r>
        <w:rPr>
          <w:b/>
          <w:u w:val="single"/>
          <w:lang w:val="sr-Cyrl-CS"/>
        </w:rPr>
        <w:t>:</w:t>
      </w:r>
    </w:p>
    <w:p w:rsidR="00A468A6" w:rsidRDefault="00A468A6" w:rsidP="00A468A6">
      <w:pPr>
        <w:jc w:val="both"/>
        <w:rPr>
          <w:lang w:val="sr-Cyrl-CS"/>
        </w:rPr>
      </w:pP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а)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- укупна количина расположивих залиха у периоду = 3.500 кг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- укупно издата количина залиха у производњу = 2.000 кг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- стање залиха на крају периода = 1.500 кг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- укупна набавна вриједност залиха у периоду = 10.000,00 + 12.000,00 + 6.500,00 + 14.000,00 = 42,500,00</w:t>
      </w: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- пондерисана просјечна набавна цијена залиха = 42.500,00 / 3.500,00 = 12,14 КМ/кг</w:t>
      </w:r>
    </w:p>
    <w:p w:rsidR="00A468A6" w:rsidRPr="006E60CF" w:rsidRDefault="00A468A6" w:rsidP="00A468A6">
      <w:pPr>
        <w:jc w:val="both"/>
        <w:rPr>
          <w:b/>
          <w:lang w:val="sr-Cyrl-CS"/>
        </w:rPr>
      </w:pPr>
      <w:r>
        <w:rPr>
          <w:lang w:val="sr-Cyrl-CS"/>
        </w:rPr>
        <w:t xml:space="preserve">- набавна вриједност залиха на крају децембра = 1.500 кг по 12,14 КМ/кг = </w:t>
      </w:r>
      <w:r w:rsidRPr="006E60CF">
        <w:rPr>
          <w:b/>
          <w:lang w:val="sr-Cyrl-CS"/>
        </w:rPr>
        <w:t>18.210,00 КМ.</w:t>
      </w:r>
    </w:p>
    <w:p w:rsidR="00A468A6" w:rsidRDefault="00A468A6" w:rsidP="00A468A6">
      <w:pPr>
        <w:jc w:val="both"/>
        <w:rPr>
          <w:lang w:val="sr-Cyrl-CS"/>
        </w:rPr>
      </w:pPr>
    </w:p>
    <w:p w:rsidR="00A468A6" w:rsidRDefault="00A468A6" w:rsidP="00A468A6">
      <w:pPr>
        <w:jc w:val="both"/>
        <w:rPr>
          <w:lang w:val="sr-Cyrl-CS"/>
        </w:rPr>
      </w:pPr>
      <w:r>
        <w:rPr>
          <w:lang w:val="sr-Cyrl-CS"/>
        </w:rPr>
        <w:t>б)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1265"/>
        <w:gridCol w:w="1265"/>
        <w:gridCol w:w="1265"/>
        <w:gridCol w:w="1265"/>
        <w:gridCol w:w="1300"/>
        <w:gridCol w:w="1176"/>
      </w:tblGrid>
      <w:tr w:rsidR="00A468A6" w:rsidRPr="00FE24C2" w:rsidTr="00A110D6">
        <w:tc>
          <w:tcPr>
            <w:tcW w:w="1157" w:type="dxa"/>
            <w:shd w:val="clear" w:color="auto" w:fill="E6E6E6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Улаз</w:t>
            </w:r>
          </w:p>
        </w:tc>
        <w:tc>
          <w:tcPr>
            <w:tcW w:w="1265" w:type="dxa"/>
            <w:shd w:val="clear" w:color="auto" w:fill="E6E6E6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Излаз</w:t>
            </w:r>
          </w:p>
        </w:tc>
        <w:tc>
          <w:tcPr>
            <w:tcW w:w="1265" w:type="dxa"/>
            <w:shd w:val="clear" w:color="auto" w:fill="E6E6E6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Стање</w:t>
            </w:r>
          </w:p>
        </w:tc>
        <w:tc>
          <w:tcPr>
            <w:tcW w:w="1265" w:type="dxa"/>
            <w:shd w:val="clear" w:color="auto" w:fill="E6E6E6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Цијена</w:t>
            </w:r>
          </w:p>
        </w:tc>
        <w:tc>
          <w:tcPr>
            <w:tcW w:w="1265" w:type="dxa"/>
            <w:shd w:val="clear" w:color="auto" w:fill="E6E6E6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Дугује</w:t>
            </w:r>
          </w:p>
        </w:tc>
        <w:tc>
          <w:tcPr>
            <w:tcW w:w="1265" w:type="dxa"/>
            <w:shd w:val="clear" w:color="auto" w:fill="E6E6E6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Потражује</w:t>
            </w:r>
          </w:p>
        </w:tc>
        <w:tc>
          <w:tcPr>
            <w:tcW w:w="1158" w:type="dxa"/>
            <w:shd w:val="clear" w:color="auto" w:fill="E6E6E6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Салдо</w:t>
            </w:r>
          </w:p>
        </w:tc>
      </w:tr>
      <w:tr w:rsidR="00A468A6" w:rsidRPr="00FE24C2" w:rsidTr="00A110D6">
        <w:tc>
          <w:tcPr>
            <w:tcW w:w="1157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10,00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10.000,00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158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10.000,00</w:t>
            </w:r>
          </w:p>
        </w:tc>
      </w:tr>
      <w:tr w:rsidR="00A468A6" w:rsidRPr="00FE24C2" w:rsidTr="00A110D6">
        <w:tc>
          <w:tcPr>
            <w:tcW w:w="1157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2.000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12,00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12.000,00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158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22.000,00</w:t>
            </w:r>
          </w:p>
        </w:tc>
      </w:tr>
      <w:tr w:rsidR="00A468A6" w:rsidRPr="00FE24C2" w:rsidTr="00A110D6">
        <w:tc>
          <w:tcPr>
            <w:tcW w:w="1157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10,00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10.000,00</w:t>
            </w:r>
          </w:p>
        </w:tc>
        <w:tc>
          <w:tcPr>
            <w:tcW w:w="1158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12.000,00</w:t>
            </w:r>
          </w:p>
        </w:tc>
      </w:tr>
      <w:tr w:rsidR="00A468A6" w:rsidRPr="00FE24C2" w:rsidTr="00A110D6">
        <w:tc>
          <w:tcPr>
            <w:tcW w:w="1157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500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1.500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13,00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6.500,00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158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18.500,00</w:t>
            </w:r>
          </w:p>
        </w:tc>
      </w:tr>
      <w:tr w:rsidR="00A468A6" w:rsidRPr="00FE24C2" w:rsidTr="00A110D6">
        <w:tc>
          <w:tcPr>
            <w:tcW w:w="1157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500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12,00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6.000,00</w:t>
            </w:r>
          </w:p>
        </w:tc>
        <w:tc>
          <w:tcPr>
            <w:tcW w:w="1158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12.500,00</w:t>
            </w:r>
          </w:p>
        </w:tc>
      </w:tr>
      <w:tr w:rsidR="00A468A6" w:rsidRPr="00FE24C2" w:rsidTr="00A110D6">
        <w:tc>
          <w:tcPr>
            <w:tcW w:w="1157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2.000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center"/>
              <w:rPr>
                <w:lang w:val="sr-Cyrl-CS"/>
              </w:rPr>
            </w:pPr>
            <w:r w:rsidRPr="00FE24C2">
              <w:rPr>
                <w:lang w:val="sr-Cyrl-CS"/>
              </w:rPr>
              <w:t>14,00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14.000,00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</w:p>
        </w:tc>
        <w:tc>
          <w:tcPr>
            <w:tcW w:w="1158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lang w:val="sr-Cyrl-CS"/>
              </w:rPr>
            </w:pPr>
            <w:r w:rsidRPr="00FE24C2">
              <w:rPr>
                <w:lang w:val="sr-Cyrl-CS"/>
              </w:rPr>
              <w:t>26.500,00</w:t>
            </w:r>
          </w:p>
        </w:tc>
      </w:tr>
      <w:tr w:rsidR="00A468A6" w:rsidRPr="00FE24C2" w:rsidTr="00A110D6">
        <w:tc>
          <w:tcPr>
            <w:tcW w:w="1157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b/>
                <w:lang w:val="sr-Cyrl-CS"/>
              </w:rPr>
            </w:pPr>
            <w:r w:rsidRPr="00FE24C2">
              <w:rPr>
                <w:b/>
                <w:lang w:val="sr-Cyrl-CS"/>
              </w:rPr>
              <w:t>500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b/>
                <w:lang w:val="sr-Cyrl-CS"/>
              </w:rPr>
            </w:pPr>
            <w:r w:rsidRPr="00FE24C2">
              <w:rPr>
                <w:b/>
                <w:lang w:val="sr-Cyrl-CS"/>
              </w:rPr>
              <w:t>1.500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center"/>
              <w:rPr>
                <w:b/>
                <w:lang w:val="sr-Cyrl-CS"/>
              </w:rPr>
            </w:pPr>
            <w:r w:rsidRPr="00FE24C2">
              <w:rPr>
                <w:b/>
                <w:lang w:val="sr-Cyrl-CS"/>
              </w:rPr>
              <w:t>12,00</w:t>
            </w: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65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b/>
                <w:lang w:val="sr-Cyrl-CS"/>
              </w:rPr>
            </w:pPr>
            <w:r w:rsidRPr="00FE24C2">
              <w:rPr>
                <w:b/>
                <w:lang w:val="sr-Cyrl-CS"/>
              </w:rPr>
              <w:t>6.000,00</w:t>
            </w:r>
          </w:p>
        </w:tc>
        <w:tc>
          <w:tcPr>
            <w:tcW w:w="1158" w:type="dxa"/>
            <w:shd w:val="clear" w:color="auto" w:fill="auto"/>
          </w:tcPr>
          <w:p w:rsidR="00A468A6" w:rsidRPr="00FE24C2" w:rsidRDefault="00A468A6" w:rsidP="00A110D6">
            <w:pPr>
              <w:jc w:val="right"/>
              <w:rPr>
                <w:b/>
                <w:lang w:val="sr-Cyrl-CS"/>
              </w:rPr>
            </w:pPr>
            <w:r w:rsidRPr="00FE24C2">
              <w:rPr>
                <w:b/>
                <w:lang w:val="sr-Cyrl-CS"/>
              </w:rPr>
              <w:t>20.500,00</w:t>
            </w:r>
          </w:p>
        </w:tc>
      </w:tr>
    </w:tbl>
    <w:p w:rsidR="00A468A6" w:rsidRDefault="00A468A6" w:rsidP="00A468A6">
      <w:pPr>
        <w:spacing w:before="120"/>
        <w:jc w:val="both"/>
        <w:rPr>
          <w:b/>
          <w:lang w:val="sr-Cyrl-CS"/>
        </w:rPr>
      </w:pPr>
      <w:r>
        <w:rPr>
          <w:lang w:val="sr-Cyrl-CS"/>
        </w:rPr>
        <w:t xml:space="preserve"> Набавна вриједност залиха на крају децембра у овом случају износи </w:t>
      </w:r>
      <w:r w:rsidRPr="00697900">
        <w:rPr>
          <w:b/>
          <w:lang w:val="sr-Cyrl-CS"/>
        </w:rPr>
        <w:t>20.500,00 КМ.</w:t>
      </w:r>
    </w:p>
    <w:p w:rsidR="00A468A6" w:rsidRDefault="00A468A6" w:rsidP="00A468A6">
      <w:p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 xml:space="preserve">в) минималну бруто добит у овом случају омогућила би примјена </w:t>
      </w:r>
      <w:r>
        <w:t>LIFO</w:t>
      </w:r>
      <w:r>
        <w:rPr>
          <w:lang w:val="sr-Cyrl-CS"/>
        </w:rPr>
        <w:t xml:space="preserve"> метода јер би она довела до минималне набавне вриједности залиха материјала на крају децембра, пошто подразумијева вредновање утрошених залиха посљедњим расположивим набавним цијенама које константно расту. Међутим, употреба </w:t>
      </w:r>
      <w:r>
        <w:t>LIFO</w:t>
      </w:r>
      <w:r>
        <w:rPr>
          <w:lang w:val="sr-Cyrl-CS"/>
        </w:rPr>
        <w:t xml:space="preserve"> метода није у складу са МРС 2. Осим тога, употреба овог метода не би омогућила истинит и фер приказ промјена на залихама материјала у посматраном примјеру и довела би до вредновања крајњих залиха цијенама са почетка обрачунског периода (1.000 кг по 10,00 КМ/кг и 500 кг по 12,00 КМ/кг) које су знатно ниже од цијена на крају тог периода.</w:t>
      </w:r>
    </w:p>
    <w:p w:rsidR="00713D3F" w:rsidRDefault="00713D3F" w:rsidP="00713D3F">
      <w:pPr>
        <w:jc w:val="both"/>
        <w:rPr>
          <w:lang w:val="sr-Cyrl-CS"/>
        </w:rPr>
      </w:pPr>
    </w:p>
    <w:p w:rsidR="00713D3F" w:rsidRDefault="00713D3F" w:rsidP="00CF5D5A">
      <w:pPr>
        <w:jc w:val="both"/>
        <w:rPr>
          <w:lang w:val="sr-Cyrl-CS"/>
        </w:rPr>
      </w:pPr>
    </w:p>
    <w:p w:rsidR="00C61008" w:rsidRDefault="00C61008" w:rsidP="00CF5D5A">
      <w:pPr>
        <w:jc w:val="both"/>
        <w:rPr>
          <w:b/>
        </w:rPr>
      </w:pPr>
    </w:p>
    <w:p w:rsidR="003D6FC3" w:rsidRDefault="003D6FC3" w:rsidP="00CF5D5A">
      <w:pPr>
        <w:jc w:val="both"/>
        <w:rPr>
          <w:b/>
        </w:rPr>
      </w:pPr>
    </w:p>
    <w:p w:rsidR="003D6FC3" w:rsidRDefault="003D6FC3" w:rsidP="00CF5D5A">
      <w:pPr>
        <w:jc w:val="both"/>
        <w:rPr>
          <w:b/>
        </w:rPr>
      </w:pPr>
    </w:p>
    <w:p w:rsidR="003D6FC3" w:rsidRDefault="003D6FC3" w:rsidP="00CF5D5A">
      <w:pPr>
        <w:jc w:val="both"/>
        <w:rPr>
          <w:b/>
        </w:rPr>
      </w:pPr>
    </w:p>
    <w:p w:rsidR="00075003" w:rsidRDefault="00C61008" w:rsidP="00075003">
      <w:pPr>
        <w:jc w:val="both"/>
        <w:rPr>
          <w:b/>
        </w:rPr>
      </w:pPr>
      <w:r>
        <w:rPr>
          <w:b/>
          <w:lang w:val="ru-RU"/>
        </w:rPr>
        <w:br w:type="page"/>
      </w:r>
      <w:r w:rsidR="00075003" w:rsidRPr="00862438">
        <w:rPr>
          <w:b/>
          <w:lang w:val="ru-RU"/>
        </w:rPr>
        <w:lastRenderedPageBreak/>
        <w:t xml:space="preserve">Задатак број </w:t>
      </w:r>
      <w:r w:rsidR="00075003">
        <w:rPr>
          <w:b/>
          <w:lang w:val="ru-RU"/>
        </w:rPr>
        <w:t>2</w:t>
      </w:r>
    </w:p>
    <w:p w:rsidR="003D6FC3" w:rsidRPr="008070AB" w:rsidRDefault="00075003" w:rsidP="00075003">
      <w:pPr>
        <w:pStyle w:val="ListParagraph"/>
        <w:ind w:left="0"/>
        <w:jc w:val="both"/>
      </w:pPr>
      <w:proofErr w:type="gramStart"/>
      <w:r>
        <w:t>Сљедећи</w:t>
      </w:r>
      <w:r w:rsidR="003D6FC3" w:rsidRPr="008070AB">
        <w:t xml:space="preserve"> </w:t>
      </w:r>
      <w:r>
        <w:t>подаци</w:t>
      </w:r>
      <w:r w:rsidR="003D6FC3" w:rsidRPr="008070AB">
        <w:t xml:space="preserve"> </w:t>
      </w:r>
      <w:r>
        <w:t>извучени</w:t>
      </w:r>
      <w:r w:rsidR="003D6FC3" w:rsidRPr="008070AB">
        <w:t xml:space="preserve"> </w:t>
      </w:r>
      <w:r>
        <w:t>су</w:t>
      </w:r>
      <w:r w:rsidR="003D6FC3" w:rsidRPr="008070AB">
        <w:t xml:space="preserve"> </w:t>
      </w:r>
      <w:r>
        <w:t>из</w:t>
      </w:r>
      <w:r w:rsidR="003D6FC3" w:rsidRPr="008070AB">
        <w:t xml:space="preserve"> </w:t>
      </w:r>
      <w:r>
        <w:t>биланса</w:t>
      </w:r>
      <w:r w:rsidR="003D6FC3" w:rsidRPr="008070AB">
        <w:t xml:space="preserve"> </w:t>
      </w:r>
      <w:r>
        <w:t>стања</w:t>
      </w:r>
      <w:r w:rsidR="003D6FC3" w:rsidRPr="008070AB">
        <w:t xml:space="preserve"> </w:t>
      </w:r>
      <w:r>
        <w:t>на</w:t>
      </w:r>
      <w:r w:rsidR="003D6FC3" w:rsidRPr="008070AB">
        <w:t xml:space="preserve"> 31.X</w:t>
      </w:r>
      <w:r>
        <w:t>II</w:t>
      </w:r>
      <w:r w:rsidR="003D6FC3" w:rsidRPr="008070AB">
        <w:t>.2007.</w:t>
      </w:r>
      <w:proofErr w:type="gramEnd"/>
      <w:r w:rsidR="003D6FC3" w:rsidRPr="008070AB">
        <w:t xml:space="preserve"> </w:t>
      </w:r>
      <w:proofErr w:type="gramStart"/>
      <w:r>
        <w:t>и</w:t>
      </w:r>
      <w:proofErr w:type="gramEnd"/>
      <w:r w:rsidR="003D6FC3" w:rsidRPr="008070AB">
        <w:t xml:space="preserve"> </w:t>
      </w:r>
      <w:r>
        <w:t>биланса</w:t>
      </w:r>
      <w:r w:rsidR="003D6FC3" w:rsidRPr="008070AB">
        <w:t xml:space="preserve"> </w:t>
      </w:r>
      <w:r>
        <w:t>успјеха</w:t>
      </w:r>
      <w:r w:rsidR="003D6FC3" w:rsidRPr="008070AB">
        <w:t xml:space="preserve"> </w:t>
      </w:r>
      <w:r>
        <w:t>за</w:t>
      </w:r>
      <w:r w:rsidR="003D6FC3" w:rsidRPr="008070AB">
        <w:t xml:space="preserve"> </w:t>
      </w:r>
      <w:r>
        <w:t>период</w:t>
      </w:r>
      <w:r w:rsidR="003D6FC3" w:rsidRPr="008070AB">
        <w:t xml:space="preserve"> 1.</w:t>
      </w:r>
      <w:r>
        <w:t>I</w:t>
      </w:r>
      <w:r w:rsidR="003D6FC3" w:rsidRPr="008070AB">
        <w:t>.-31.X</w:t>
      </w:r>
      <w:r>
        <w:t>II</w:t>
      </w:r>
      <w:r w:rsidR="003D6FC3" w:rsidRPr="008070AB">
        <w:t xml:space="preserve">. 2007. </w:t>
      </w:r>
      <w:proofErr w:type="gramStart"/>
      <w:r>
        <w:t>п</w:t>
      </w:r>
      <w:r w:rsidR="00C61008">
        <w:t>ре</w:t>
      </w:r>
      <w:r>
        <w:t>дузећа</w:t>
      </w:r>
      <w:proofErr w:type="gramEnd"/>
      <w:r w:rsidR="003D6FC3" w:rsidRPr="008070AB">
        <w:t xml:space="preserve"> „XY“ </w:t>
      </w:r>
      <w:r>
        <w:t>д</w:t>
      </w:r>
      <w:r w:rsidR="003D6FC3" w:rsidRPr="008070AB">
        <w:t>.</w:t>
      </w:r>
      <w:r>
        <w:t>о</w:t>
      </w:r>
      <w:r w:rsidR="003D6FC3" w:rsidRPr="008070AB">
        <w:t>.</w:t>
      </w:r>
      <w:r>
        <w:t>о</w:t>
      </w:r>
      <w:r w:rsidR="003D6FC3" w:rsidRPr="008070AB">
        <w:t xml:space="preserve">.: </w:t>
      </w:r>
    </w:p>
    <w:tbl>
      <w:tblPr>
        <w:tblW w:w="9469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3238"/>
        <w:gridCol w:w="1254"/>
        <w:gridCol w:w="398"/>
        <w:gridCol w:w="3410"/>
        <w:gridCol w:w="1169"/>
      </w:tblGrid>
      <w:tr w:rsidR="003D6FC3" w:rsidRPr="008070AB" w:rsidTr="003D6FC3">
        <w:trPr>
          <w:jc w:val="center"/>
        </w:trPr>
        <w:tc>
          <w:tcPr>
            <w:tcW w:w="4504" w:type="dxa"/>
            <w:gridSpan w:val="2"/>
            <w:tcBorders>
              <w:top w:val="single" w:sz="12" w:space="0" w:color="000080"/>
              <w:left w:val="single" w:sz="12" w:space="0" w:color="000080"/>
              <w:bottom w:val="double" w:sz="4" w:space="0" w:color="auto"/>
              <w:right w:val="single" w:sz="12" w:space="0" w:color="000080"/>
            </w:tcBorders>
            <w:shd w:val="clear" w:color="auto" w:fill="E0E0E0"/>
            <w:vAlign w:val="center"/>
            <w:hideMark/>
          </w:tcPr>
          <w:p w:rsidR="003D6FC3" w:rsidRPr="003D6FC3" w:rsidRDefault="00075003" w:rsidP="00C61008">
            <w:pPr>
              <w:ind w:right="113"/>
              <w:rPr>
                <w:lang w:val="hr-HR" w:eastAsia="hr-HR"/>
              </w:rPr>
            </w:pPr>
            <w:r>
              <w:rPr>
                <w:b/>
                <w:bCs/>
              </w:rPr>
              <w:t>Подаци</w:t>
            </w:r>
            <w:r w:rsidR="003D6FC3" w:rsidRPr="003D6F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из</w:t>
            </w:r>
            <w:r w:rsidR="003D6FC3" w:rsidRPr="003D6F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билан</w:t>
            </w:r>
            <w:r w:rsidR="00C61008">
              <w:rPr>
                <w:b/>
                <w:bCs/>
              </w:rPr>
              <w:t>са</w:t>
            </w:r>
            <w:r w:rsidR="003D6FC3" w:rsidRPr="003D6F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стања</w:t>
            </w:r>
            <w:r w:rsidR="003D6FC3" w:rsidRPr="003D6FC3">
              <w:rPr>
                <w:b/>
                <w:bCs/>
              </w:rPr>
              <w:t>: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4566" w:type="dxa"/>
            <w:gridSpan w:val="2"/>
            <w:tcBorders>
              <w:top w:val="single" w:sz="12" w:space="0" w:color="000080"/>
              <w:left w:val="single" w:sz="12" w:space="0" w:color="000080"/>
              <w:bottom w:val="double" w:sz="4" w:space="0" w:color="auto"/>
              <w:right w:val="single" w:sz="12" w:space="0" w:color="000080"/>
            </w:tcBorders>
            <w:shd w:val="clear" w:color="auto" w:fill="D9D9D9"/>
            <w:vAlign w:val="center"/>
            <w:hideMark/>
          </w:tcPr>
          <w:p w:rsidR="003D6FC3" w:rsidRPr="003D6FC3" w:rsidRDefault="00075003" w:rsidP="00C61008">
            <w:pPr>
              <w:ind w:right="113"/>
              <w:rPr>
                <w:lang w:val="hr-HR" w:eastAsia="hr-HR"/>
              </w:rPr>
            </w:pPr>
            <w:r>
              <w:rPr>
                <w:b/>
                <w:bCs/>
              </w:rPr>
              <w:t>Подаци</w:t>
            </w:r>
            <w:r w:rsidR="003D6FC3" w:rsidRPr="003D6F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из</w:t>
            </w:r>
            <w:r w:rsidR="003D6FC3" w:rsidRPr="003D6F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билан</w:t>
            </w:r>
            <w:r w:rsidR="00C61008">
              <w:rPr>
                <w:b/>
                <w:bCs/>
              </w:rPr>
              <w:t>са</w:t>
            </w:r>
            <w:r w:rsidR="003D6FC3" w:rsidRPr="003D6F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успјеха</w:t>
            </w:r>
            <w:r w:rsidR="003D6FC3" w:rsidRPr="003D6FC3">
              <w:rPr>
                <w:b/>
                <w:bCs/>
              </w:rPr>
              <w:t>:</w:t>
            </w: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double" w:sz="4" w:space="0" w:color="auto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Зграде</w:t>
            </w:r>
            <w:r w:rsidR="003D6FC3" w:rsidRPr="00864050">
              <w:t xml:space="preserve"> </w:t>
            </w:r>
          </w:p>
        </w:tc>
        <w:tc>
          <w:tcPr>
            <w:tcW w:w="1254" w:type="dxa"/>
            <w:tcBorders>
              <w:top w:val="double" w:sz="4" w:space="0" w:color="auto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750.000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double" w:sz="4" w:space="0" w:color="auto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3D6FC3">
            <w:pPr>
              <w:jc w:val="both"/>
              <w:rPr>
                <w:lang w:val="hr-HR" w:eastAsia="hr-HR"/>
              </w:rPr>
            </w:pPr>
            <w:r>
              <w:t>Приходи</w:t>
            </w:r>
            <w:r w:rsidR="003D6FC3" w:rsidRPr="00864050">
              <w:t xml:space="preserve"> </w:t>
            </w:r>
            <w:r>
              <w:t>од</w:t>
            </w:r>
            <w:r w:rsidR="003D6FC3" w:rsidRPr="00864050">
              <w:t xml:space="preserve"> </w:t>
            </w:r>
            <w:r>
              <w:t>продаје</w:t>
            </w:r>
          </w:p>
        </w:tc>
        <w:tc>
          <w:tcPr>
            <w:tcW w:w="1145" w:type="dxa"/>
            <w:tcBorders>
              <w:top w:val="double" w:sz="4" w:space="0" w:color="auto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175.000</w:t>
            </w: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C61008">
            <w:pPr>
              <w:rPr>
                <w:lang w:val="hr-HR" w:eastAsia="hr-HR"/>
              </w:rPr>
            </w:pPr>
            <w:r>
              <w:t>Исправ</w:t>
            </w:r>
            <w:r w:rsidR="00C61008">
              <w:t>к</w:t>
            </w:r>
            <w:r>
              <w:t>а</w:t>
            </w:r>
            <w:r w:rsidR="003D6FC3" w:rsidRPr="00864050">
              <w:t xml:space="preserve"> </w:t>
            </w:r>
            <w:r>
              <w:t>вриједности</w:t>
            </w:r>
            <w:r w:rsidR="003D6FC3" w:rsidRPr="00864050">
              <w:t xml:space="preserve"> </w:t>
            </w:r>
            <w:r>
              <w:t>зграда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57"/>
              <w:jc w:val="right"/>
              <w:rPr>
                <w:lang w:val="hr-HR" w:eastAsia="hr-HR"/>
              </w:rPr>
            </w:pPr>
            <w:r w:rsidRPr="00864050">
              <w:t>(225.000)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7755CE">
            <w:pPr>
              <w:jc w:val="both"/>
              <w:rPr>
                <w:lang w:val="hr-HR" w:eastAsia="hr-HR"/>
              </w:rPr>
            </w:pPr>
            <w:r>
              <w:t>Трошкови</w:t>
            </w:r>
            <w:r w:rsidR="003D6FC3" w:rsidRPr="00864050">
              <w:t xml:space="preserve"> </w:t>
            </w:r>
            <w:r>
              <w:t>за</w:t>
            </w:r>
            <w:r w:rsidR="003D6FC3" w:rsidRPr="00864050">
              <w:t xml:space="preserve"> </w:t>
            </w:r>
            <w:r>
              <w:t>прода</w:t>
            </w:r>
            <w:r w:rsidR="007755CE">
              <w:t>т</w:t>
            </w:r>
            <w:r>
              <w:t>о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77.500</w:t>
            </w: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C61008" w:rsidP="00C61008">
            <w:pPr>
              <w:rPr>
                <w:lang w:val="hr-HR" w:eastAsia="hr-HR"/>
              </w:rPr>
            </w:pPr>
            <w:r>
              <w:t>Пос</w:t>
            </w:r>
            <w:r w:rsidR="00075003">
              <w:t>троје</w:t>
            </w:r>
            <w:r>
              <w:t>ња</w:t>
            </w:r>
            <w:r w:rsidR="003D6FC3" w:rsidRPr="00864050">
              <w:t xml:space="preserve"> 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375.000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E6E6E6"/>
            <w:vAlign w:val="center"/>
            <w:hideMark/>
          </w:tcPr>
          <w:p w:rsidR="003D6FC3" w:rsidRPr="003D6FC3" w:rsidRDefault="00075003" w:rsidP="003D6FC3">
            <w:pPr>
              <w:jc w:val="both"/>
              <w:rPr>
                <w:lang w:val="hr-HR" w:eastAsia="hr-HR"/>
              </w:rPr>
            </w:pPr>
            <w:r>
              <w:t>Бруто</w:t>
            </w:r>
            <w:r w:rsidR="003D6FC3" w:rsidRPr="00864050">
              <w:t xml:space="preserve"> </w:t>
            </w:r>
            <w:r>
              <w:t>добит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E6E6E6"/>
            <w:vAlign w:val="center"/>
            <w:hideMark/>
          </w:tcPr>
          <w:p w:rsidR="003D6FC3" w:rsidRPr="003D6FC3" w:rsidRDefault="003D6FC3" w:rsidP="003D6FC3">
            <w:pPr>
              <w:ind w:left="720" w:right="113"/>
              <w:jc w:val="center"/>
              <w:rPr>
                <w:b/>
                <w:bCs/>
                <w:lang w:val="hr-HR" w:eastAsia="hr-HR"/>
              </w:rPr>
            </w:pPr>
            <w:r w:rsidRPr="003D6FC3">
              <w:rPr>
                <w:b/>
                <w:bCs/>
              </w:rPr>
              <w:t>?</w:t>
            </w: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C61008">
            <w:pPr>
              <w:rPr>
                <w:lang w:val="hr-HR" w:eastAsia="hr-HR"/>
              </w:rPr>
            </w:pPr>
            <w:r>
              <w:t>Исправ</w:t>
            </w:r>
            <w:r w:rsidR="00C61008">
              <w:t>к</w:t>
            </w:r>
            <w:r>
              <w:t>а</w:t>
            </w:r>
            <w:r w:rsidR="003D6FC3" w:rsidRPr="00864050">
              <w:t xml:space="preserve"> </w:t>
            </w:r>
            <w:r>
              <w:t>вриједности</w:t>
            </w:r>
            <w:r w:rsidR="003D6FC3" w:rsidRPr="00864050">
              <w:t xml:space="preserve"> </w:t>
            </w:r>
            <w:r w:rsidR="00C61008">
              <w:t>по</w:t>
            </w:r>
            <w:r>
              <w:t>строје</w:t>
            </w:r>
            <w:r w:rsidR="00C61008">
              <w:t>њ</w:t>
            </w:r>
            <w:r>
              <w:t>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57"/>
              <w:jc w:val="right"/>
              <w:rPr>
                <w:lang w:val="hr-HR" w:eastAsia="hr-HR"/>
              </w:rPr>
            </w:pPr>
            <w:r w:rsidRPr="00864050">
              <w:t>(132.500)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3D6FC3">
            <w:pPr>
              <w:ind w:right="-57"/>
              <w:jc w:val="both"/>
              <w:rPr>
                <w:lang w:val="hr-HR" w:eastAsia="hr-HR"/>
              </w:rPr>
            </w:pPr>
            <w:r>
              <w:t>Трошкови</w:t>
            </w:r>
            <w:r w:rsidR="003D6FC3" w:rsidRPr="00864050">
              <w:t xml:space="preserve"> </w:t>
            </w:r>
            <w:r>
              <w:t>управе</w:t>
            </w:r>
            <w:r w:rsidR="003D6FC3" w:rsidRPr="00864050">
              <w:t xml:space="preserve"> </w:t>
            </w:r>
            <w:r>
              <w:t>и</w:t>
            </w:r>
            <w:r w:rsidR="003D6FC3" w:rsidRPr="00864050">
              <w:t xml:space="preserve"> </w:t>
            </w:r>
            <w:r>
              <w:t>администрације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50.750</w:t>
            </w: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Залихе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37.000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E6E6E6"/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Оперативна</w:t>
            </w:r>
            <w:r w:rsidR="003D6FC3" w:rsidRPr="00864050">
              <w:t xml:space="preserve"> </w:t>
            </w:r>
            <w:r>
              <w:t>добит</w:t>
            </w:r>
            <w:r w:rsidR="003D6FC3" w:rsidRPr="00864050">
              <w:t xml:space="preserve"> 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E6E6E6"/>
            <w:vAlign w:val="center"/>
            <w:hideMark/>
          </w:tcPr>
          <w:p w:rsidR="003D6FC3" w:rsidRPr="003D6FC3" w:rsidRDefault="003D6FC3" w:rsidP="003D6FC3">
            <w:pPr>
              <w:ind w:left="720" w:right="113"/>
              <w:jc w:val="center"/>
              <w:rPr>
                <w:b/>
                <w:bCs/>
                <w:lang w:val="hr-HR" w:eastAsia="hr-HR"/>
              </w:rPr>
            </w:pPr>
            <w:r w:rsidRPr="003D6FC3">
              <w:rPr>
                <w:b/>
                <w:bCs/>
              </w:rPr>
              <w:t>?</w:t>
            </w: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Потраживања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25.000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3D6FC3">
            <w:pPr>
              <w:jc w:val="both"/>
              <w:rPr>
                <w:lang w:val="hr-HR" w:eastAsia="hr-HR"/>
              </w:rPr>
            </w:pPr>
            <w:r>
              <w:t>Камате</w:t>
            </w:r>
            <w:r w:rsidR="003D6FC3" w:rsidRPr="00864050">
              <w:t xml:space="preserve"> </w:t>
            </w:r>
            <w:r>
              <w:t>на</w:t>
            </w:r>
            <w:r w:rsidR="003D6FC3" w:rsidRPr="00864050">
              <w:t xml:space="preserve"> </w:t>
            </w:r>
            <w:r>
              <w:t>кредите</w:t>
            </w:r>
            <w:r w:rsidR="003D6FC3" w:rsidRPr="00864050">
              <w:t xml:space="preserve"> </w:t>
            </w:r>
          </w:p>
          <w:p w:rsidR="003D6FC3" w:rsidRPr="003D6FC3" w:rsidRDefault="003D6FC3" w:rsidP="00C61008">
            <w:pPr>
              <w:jc w:val="both"/>
              <w:rPr>
                <w:lang w:val="hr-HR" w:eastAsia="hr-HR"/>
              </w:rPr>
            </w:pPr>
            <w:r w:rsidRPr="00864050">
              <w:t>(</w:t>
            </w:r>
            <w:r w:rsidR="00075003">
              <w:t>расход</w:t>
            </w:r>
            <w:r w:rsidRPr="00864050">
              <w:t xml:space="preserve"> </w:t>
            </w:r>
            <w:r w:rsidR="00075003">
              <w:t>финан</w:t>
            </w:r>
            <w:r w:rsidR="00C61008">
              <w:t>с</w:t>
            </w:r>
            <w:r w:rsidR="00075003">
              <w:t>ирања</w:t>
            </w:r>
            <w:r w:rsidRPr="00864050">
              <w:t>)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Новац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23.000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3D6FC3" w:rsidP="00DC6E2B">
            <w:pPr>
              <w:rPr>
                <w:lang w:val="hr-HR" w:eastAsia="hr-H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23.250</w:t>
            </w:r>
          </w:p>
        </w:tc>
      </w:tr>
      <w:tr w:rsidR="003D6FC3" w:rsidRPr="008070AB" w:rsidTr="003D6FC3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E6E6E6"/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АКТИВА</w:t>
            </w:r>
            <w:r w:rsidR="003D6FC3" w:rsidRPr="00864050">
              <w:t xml:space="preserve"> (</w:t>
            </w:r>
            <w:r>
              <w:t>укупно</w:t>
            </w:r>
            <w:r w:rsidR="003D6FC3" w:rsidRPr="00864050">
              <w:t>)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E6E6E6"/>
            <w:vAlign w:val="center"/>
            <w:hideMark/>
          </w:tcPr>
          <w:p w:rsidR="003D6FC3" w:rsidRPr="003D6FC3" w:rsidRDefault="003D6FC3" w:rsidP="003D6FC3">
            <w:pPr>
              <w:ind w:left="720" w:right="113"/>
              <w:jc w:val="center"/>
              <w:rPr>
                <w:b/>
                <w:bCs/>
                <w:lang w:val="hr-HR" w:eastAsia="hr-HR"/>
              </w:rPr>
            </w:pPr>
            <w:r w:rsidRPr="003D6FC3">
              <w:rPr>
                <w:b/>
                <w:bCs/>
              </w:rPr>
              <w:t>?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E6E6E6"/>
            <w:vAlign w:val="center"/>
            <w:hideMark/>
          </w:tcPr>
          <w:p w:rsidR="003D6FC3" w:rsidRPr="003D6FC3" w:rsidRDefault="00075003" w:rsidP="003D6FC3">
            <w:pPr>
              <w:jc w:val="both"/>
              <w:rPr>
                <w:lang w:val="hr-HR" w:eastAsia="hr-HR"/>
              </w:rPr>
            </w:pPr>
            <w:r>
              <w:t>Добит</w:t>
            </w:r>
            <w:r w:rsidR="003D6FC3" w:rsidRPr="00864050">
              <w:t xml:space="preserve"> </w:t>
            </w:r>
            <w:r>
              <w:t>прије</w:t>
            </w:r>
            <w:r w:rsidR="003D6FC3" w:rsidRPr="00864050">
              <w:t xml:space="preserve"> </w:t>
            </w:r>
            <w:r>
              <w:t>опорезивања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E6E6E6"/>
            <w:vAlign w:val="center"/>
            <w:hideMark/>
          </w:tcPr>
          <w:p w:rsidR="003D6FC3" w:rsidRPr="003D6FC3" w:rsidRDefault="003D6FC3" w:rsidP="003D6FC3">
            <w:pPr>
              <w:ind w:left="720" w:right="113"/>
              <w:jc w:val="center"/>
              <w:rPr>
                <w:b/>
                <w:bCs/>
                <w:lang w:val="hr-HR" w:eastAsia="hr-HR"/>
              </w:rPr>
            </w:pPr>
            <w:r w:rsidRPr="003D6FC3">
              <w:rPr>
                <w:b/>
                <w:bCs/>
              </w:rPr>
              <w:t>?</w:t>
            </w:r>
          </w:p>
        </w:tc>
      </w:tr>
      <w:tr w:rsidR="003D6FC3" w:rsidRPr="008070AB" w:rsidTr="007755CE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E6E6E6"/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Властити</w:t>
            </w:r>
            <w:r w:rsidR="003D6FC3" w:rsidRPr="00864050">
              <w:t xml:space="preserve"> </w:t>
            </w:r>
            <w:r>
              <w:t>капитал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E6E6E6"/>
            <w:vAlign w:val="center"/>
            <w:hideMark/>
          </w:tcPr>
          <w:p w:rsidR="003D6FC3" w:rsidRPr="003D6FC3" w:rsidRDefault="003D6FC3" w:rsidP="003D6FC3">
            <w:pPr>
              <w:ind w:left="720" w:right="113"/>
              <w:jc w:val="center"/>
              <w:rPr>
                <w:b/>
                <w:bCs/>
                <w:lang w:val="hr-HR" w:eastAsia="hr-HR"/>
              </w:rPr>
            </w:pPr>
            <w:r w:rsidRPr="003D6FC3">
              <w:rPr>
                <w:b/>
                <w:bCs/>
              </w:rPr>
              <w:t>?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E6E6E6"/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Порез</w:t>
            </w:r>
            <w:r w:rsidR="003D6FC3" w:rsidRPr="00864050">
              <w:t xml:space="preserve"> </w:t>
            </w:r>
            <w:r>
              <w:t>на</w:t>
            </w:r>
            <w:r w:rsidR="003D6FC3" w:rsidRPr="00864050">
              <w:t xml:space="preserve"> </w:t>
            </w:r>
            <w:r>
              <w:t>добит</w:t>
            </w:r>
            <w:r w:rsidR="003D6FC3" w:rsidRPr="00864050">
              <w:t xml:space="preserve"> (10%)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E6E6E6"/>
            <w:vAlign w:val="center"/>
            <w:hideMark/>
          </w:tcPr>
          <w:p w:rsidR="003D6FC3" w:rsidRPr="003D6FC3" w:rsidRDefault="003D6FC3" w:rsidP="003D6FC3">
            <w:pPr>
              <w:ind w:left="720" w:right="113"/>
              <w:jc w:val="center"/>
              <w:rPr>
                <w:b/>
                <w:bCs/>
                <w:lang w:val="hr-HR" w:eastAsia="hr-HR"/>
              </w:rPr>
            </w:pPr>
            <w:r w:rsidRPr="003D6FC3">
              <w:rPr>
                <w:b/>
                <w:bCs/>
              </w:rPr>
              <w:t>?</w:t>
            </w:r>
          </w:p>
        </w:tc>
      </w:tr>
      <w:tr w:rsidR="003D6FC3" w:rsidRPr="008070AB" w:rsidTr="007755CE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Обвезе</w:t>
            </w:r>
            <w:r w:rsidR="003D6FC3" w:rsidRPr="00864050">
              <w:t xml:space="preserve"> </w:t>
            </w:r>
            <w:r>
              <w:t>према</w:t>
            </w:r>
            <w:r w:rsidR="003D6FC3" w:rsidRPr="00864050">
              <w:t xml:space="preserve"> </w:t>
            </w:r>
            <w:r>
              <w:t>добављачима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22.500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3D6FC3" w:rsidRPr="003D6FC3" w:rsidRDefault="003D6FC3" w:rsidP="003D6FC3">
            <w:pPr>
              <w:jc w:val="both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E6E6E6"/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Добит</w:t>
            </w:r>
            <w:r w:rsidR="003D6FC3" w:rsidRPr="00864050">
              <w:t xml:space="preserve"> </w:t>
            </w:r>
            <w:r>
              <w:t>послије</w:t>
            </w:r>
            <w:r w:rsidR="003D6FC3" w:rsidRPr="00864050">
              <w:t xml:space="preserve"> </w:t>
            </w:r>
            <w:r>
              <w:t>опорезивања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E6E6E6"/>
            <w:vAlign w:val="center"/>
            <w:hideMark/>
          </w:tcPr>
          <w:p w:rsidR="003D6FC3" w:rsidRPr="003D6FC3" w:rsidRDefault="003D6FC3" w:rsidP="003D6FC3">
            <w:pPr>
              <w:ind w:left="720" w:right="113"/>
              <w:jc w:val="center"/>
              <w:rPr>
                <w:b/>
                <w:bCs/>
                <w:lang w:val="hr-HR" w:eastAsia="hr-HR"/>
              </w:rPr>
            </w:pPr>
            <w:r w:rsidRPr="003D6FC3">
              <w:rPr>
                <w:b/>
                <w:bCs/>
              </w:rPr>
              <w:t>?</w:t>
            </w:r>
          </w:p>
        </w:tc>
      </w:tr>
      <w:tr w:rsidR="003D6FC3" w:rsidRPr="008070AB" w:rsidTr="007755CE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nil"/>
            </w:tcBorders>
            <w:vAlign w:val="center"/>
            <w:hideMark/>
          </w:tcPr>
          <w:p w:rsidR="003D6FC3" w:rsidRPr="003D6FC3" w:rsidRDefault="00075003" w:rsidP="00DC6E2B">
            <w:pPr>
              <w:rPr>
                <w:lang w:val="hr-HR" w:eastAsia="hr-HR"/>
              </w:rPr>
            </w:pPr>
            <w:r>
              <w:t>Обвезе</w:t>
            </w:r>
            <w:r w:rsidR="003D6FC3" w:rsidRPr="00864050">
              <w:t xml:space="preserve"> </w:t>
            </w:r>
            <w:r>
              <w:t>за</w:t>
            </w:r>
            <w:r w:rsidR="003D6FC3" w:rsidRPr="00864050">
              <w:t xml:space="preserve"> </w:t>
            </w:r>
            <w:r>
              <w:t>дугорочне</w:t>
            </w:r>
            <w:r w:rsidR="003D6FC3" w:rsidRPr="00864050">
              <w:t xml:space="preserve"> </w:t>
            </w:r>
            <w:r>
              <w:t>кредите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:rsidR="003D6FC3" w:rsidRPr="003D6FC3" w:rsidRDefault="003D6FC3" w:rsidP="003D6FC3">
            <w:pPr>
              <w:ind w:right="113"/>
              <w:jc w:val="right"/>
              <w:rPr>
                <w:lang w:val="hr-HR" w:eastAsia="hr-HR"/>
              </w:rPr>
            </w:pPr>
            <w:r w:rsidRPr="00864050">
              <w:t>200.000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auto"/>
            </w:tcBorders>
            <w:vAlign w:val="center"/>
          </w:tcPr>
          <w:p w:rsidR="003D6FC3" w:rsidRPr="003D6FC3" w:rsidRDefault="003D6FC3" w:rsidP="003D6FC3">
            <w:pPr>
              <w:jc w:val="right"/>
              <w:rPr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3D6FC3" w:rsidRPr="007755CE" w:rsidRDefault="00075003" w:rsidP="00DC6E2B">
            <w:r>
              <w:t>Амортизација</w:t>
            </w:r>
            <w:r w:rsidR="003D6FC3" w:rsidRPr="00864050">
              <w:t xml:space="preserve"> (</w:t>
            </w:r>
            <w:r>
              <w:t>за</w:t>
            </w:r>
            <w:r w:rsidR="003D6FC3" w:rsidRPr="00864050">
              <w:t xml:space="preserve"> 2007. </w:t>
            </w:r>
            <w:r>
              <w:t>годину</w:t>
            </w:r>
            <w:r w:rsidR="003D6FC3" w:rsidRPr="00864050">
              <w:t>)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6FC3" w:rsidRPr="007755CE" w:rsidRDefault="003D6FC3" w:rsidP="003D6FC3">
            <w:pPr>
              <w:ind w:right="113"/>
              <w:jc w:val="right"/>
            </w:pPr>
            <w:r w:rsidRPr="00864050">
              <w:t>40.000</w:t>
            </w:r>
          </w:p>
        </w:tc>
      </w:tr>
    </w:tbl>
    <w:p w:rsidR="003D6FC3" w:rsidRPr="00864050" w:rsidRDefault="003D6FC3" w:rsidP="003D6FC3">
      <w:pPr>
        <w:pStyle w:val="ListParagraph"/>
        <w:ind w:left="360"/>
        <w:jc w:val="both"/>
        <w:rPr>
          <w:b/>
          <w:bCs/>
          <w:lang w:val="hr-HR" w:eastAsia="hr-HR"/>
        </w:rPr>
      </w:pPr>
    </w:p>
    <w:p w:rsidR="003D6FC3" w:rsidRPr="008070AB" w:rsidRDefault="00075003" w:rsidP="003D6FC3">
      <w:pPr>
        <w:pStyle w:val="ListParagraph"/>
        <w:ind w:left="360"/>
        <w:jc w:val="both"/>
        <w:rPr>
          <w:b/>
          <w:bCs/>
          <w:lang w:val="hr-HR" w:eastAsia="hr-HR"/>
        </w:rPr>
      </w:pPr>
      <w:r>
        <w:rPr>
          <w:b/>
          <w:bCs/>
        </w:rPr>
        <w:t>Потребно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је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урадити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сљедеће</w:t>
      </w:r>
      <w:r w:rsidR="003D6FC3" w:rsidRPr="008070AB">
        <w:rPr>
          <w:b/>
          <w:bCs/>
        </w:rPr>
        <w:t>:</w:t>
      </w:r>
    </w:p>
    <w:p w:rsidR="003D6FC3" w:rsidRPr="008070AB" w:rsidRDefault="00075003" w:rsidP="003D6FC3">
      <w:pPr>
        <w:ind w:left="360"/>
        <w:jc w:val="both"/>
        <w:rPr>
          <w:b/>
          <w:bCs/>
        </w:rPr>
      </w:pPr>
      <w:r>
        <w:rPr>
          <w:b/>
          <w:bCs/>
        </w:rPr>
        <w:t>Израчунати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износе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ставки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које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су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у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горњој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табели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означене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с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знаком</w:t>
      </w:r>
      <w:r w:rsidR="003D6FC3" w:rsidRPr="008070AB">
        <w:rPr>
          <w:b/>
          <w:bCs/>
        </w:rPr>
        <w:t xml:space="preserve"> </w:t>
      </w:r>
      <w:r w:rsidR="003D6FC3" w:rsidRPr="008070AB">
        <w:t>„</w:t>
      </w:r>
      <w:proofErr w:type="gramStart"/>
      <w:r w:rsidR="003D6FC3" w:rsidRPr="008070AB">
        <w:rPr>
          <w:b/>
          <w:bCs/>
        </w:rPr>
        <w:t>?</w:t>
      </w:r>
      <w:r w:rsidR="003D6FC3" w:rsidRPr="008070AB">
        <w:rPr>
          <w:i/>
          <w:iCs/>
        </w:rPr>
        <w:t>“</w:t>
      </w:r>
      <w:proofErr w:type="gramEnd"/>
      <w:r w:rsidR="003D6FC3" w:rsidRPr="008070AB">
        <w:rPr>
          <w:b/>
          <w:bCs/>
        </w:rPr>
        <w:t xml:space="preserve"> </w:t>
      </w:r>
    </w:p>
    <w:p w:rsidR="003D6FC3" w:rsidRPr="008070AB" w:rsidRDefault="00075003" w:rsidP="003D6FC3">
      <w:pPr>
        <w:ind w:left="360"/>
        <w:jc w:val="both"/>
        <w:rPr>
          <w:b/>
          <w:bCs/>
        </w:rPr>
      </w:pPr>
      <w:r>
        <w:rPr>
          <w:b/>
          <w:bCs/>
        </w:rPr>
        <w:t>На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основу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наведених</w:t>
      </w:r>
      <w:r w:rsidR="003D6FC3" w:rsidRPr="008070AB">
        <w:rPr>
          <w:b/>
          <w:bCs/>
        </w:rPr>
        <w:t xml:space="preserve"> (</w:t>
      </w:r>
      <w:r>
        <w:rPr>
          <w:b/>
          <w:bCs/>
        </w:rPr>
        <w:t>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израчунатих</w:t>
      </w:r>
      <w:r w:rsidR="003D6FC3" w:rsidRPr="008070AB">
        <w:rPr>
          <w:b/>
          <w:bCs/>
        </w:rPr>
        <w:t xml:space="preserve">) </w:t>
      </w:r>
      <w:r>
        <w:rPr>
          <w:b/>
          <w:bCs/>
        </w:rPr>
        <w:t>података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за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предузеће</w:t>
      </w:r>
      <w:r w:rsidR="003D6FC3" w:rsidRPr="008070AB">
        <w:rPr>
          <w:b/>
          <w:bCs/>
        </w:rPr>
        <w:t xml:space="preserve"> </w:t>
      </w:r>
      <w:r w:rsidR="003D6FC3" w:rsidRPr="008070AB">
        <w:t>„</w:t>
      </w:r>
      <w:r w:rsidR="003D6FC3" w:rsidRPr="008070AB">
        <w:rPr>
          <w:b/>
          <w:bCs/>
        </w:rPr>
        <w:t>XY</w:t>
      </w:r>
      <w:r w:rsidR="003D6FC3" w:rsidRPr="008070AB">
        <w:t xml:space="preserve">“, </w:t>
      </w:r>
      <w:r>
        <w:rPr>
          <w:b/>
          <w:bCs/>
        </w:rPr>
        <w:t>ИЗРАЧУНАТИ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и дати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коментар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сљедећих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показатеља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солвентности</w:t>
      </w:r>
      <w:r w:rsidR="003D6FC3" w:rsidRPr="008070AB">
        <w:rPr>
          <w:b/>
          <w:bCs/>
        </w:rPr>
        <w:t>:</w:t>
      </w:r>
    </w:p>
    <w:p w:rsidR="003D6FC3" w:rsidRPr="008070AB" w:rsidRDefault="00075003" w:rsidP="003736F2">
      <w:pPr>
        <w:pStyle w:val="ListParagraph"/>
        <w:numPr>
          <w:ilvl w:val="3"/>
          <w:numId w:val="21"/>
        </w:numPr>
        <w:rPr>
          <w:b/>
          <w:bCs/>
        </w:rPr>
      </w:pPr>
      <w:r>
        <w:rPr>
          <w:b/>
          <w:bCs/>
        </w:rPr>
        <w:t>удио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туђег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капитала</w:t>
      </w:r>
      <w:r w:rsidR="003D6FC3" w:rsidRPr="008070AB">
        <w:rPr>
          <w:b/>
          <w:bCs/>
        </w:rPr>
        <w:t xml:space="preserve">; (2) </w:t>
      </w:r>
      <w:r>
        <w:rPr>
          <w:b/>
          <w:bCs/>
        </w:rPr>
        <w:t>однос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укупних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об</w:t>
      </w:r>
      <w:r w:rsidR="007755CE">
        <w:rPr>
          <w:b/>
          <w:bCs/>
        </w:rPr>
        <w:t>a</w:t>
      </w:r>
      <w:r>
        <w:rPr>
          <w:b/>
          <w:bCs/>
        </w:rPr>
        <w:t>веза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главнице</w:t>
      </w:r>
      <w:r w:rsidR="003D6FC3" w:rsidRPr="008070AB">
        <w:rPr>
          <w:b/>
          <w:bCs/>
        </w:rPr>
        <w:t xml:space="preserve">; </w:t>
      </w:r>
    </w:p>
    <w:p w:rsidR="003D6FC3" w:rsidRPr="008070AB" w:rsidRDefault="00075003" w:rsidP="003736F2">
      <w:pPr>
        <w:pStyle w:val="ListParagraph"/>
        <w:numPr>
          <w:ilvl w:val="3"/>
          <w:numId w:val="21"/>
        </w:numPr>
        <w:rPr>
          <w:b/>
          <w:bCs/>
        </w:rPr>
      </w:pPr>
      <w:r>
        <w:rPr>
          <w:b/>
          <w:bCs/>
        </w:rPr>
        <w:t>однос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покрића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камата</w:t>
      </w:r>
      <w:r w:rsidR="003D6FC3" w:rsidRPr="008070AB">
        <w:rPr>
          <w:b/>
          <w:bCs/>
        </w:rPr>
        <w:t xml:space="preserve">; (4) </w:t>
      </w:r>
      <w:r>
        <w:rPr>
          <w:b/>
          <w:bCs/>
        </w:rPr>
        <w:t>степен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задужености</w:t>
      </w:r>
      <w:r w:rsidR="003D6FC3" w:rsidRPr="008070AB">
        <w:rPr>
          <w:b/>
          <w:bCs/>
        </w:rPr>
        <w:t>;</w:t>
      </w:r>
    </w:p>
    <w:p w:rsidR="003D6FC3" w:rsidRPr="008070AB" w:rsidRDefault="003D6FC3" w:rsidP="003D6FC3">
      <w:pPr>
        <w:pStyle w:val="ListParagraph"/>
        <w:ind w:left="1080"/>
        <w:rPr>
          <w:b/>
          <w:bCs/>
        </w:rPr>
      </w:pPr>
      <w:r w:rsidRPr="008070AB">
        <w:rPr>
          <w:b/>
          <w:bCs/>
        </w:rPr>
        <w:t xml:space="preserve">(5) </w:t>
      </w:r>
      <w:proofErr w:type="gramStart"/>
      <w:r w:rsidR="00075003">
        <w:rPr>
          <w:b/>
          <w:bCs/>
        </w:rPr>
        <w:t>фактор</w:t>
      </w:r>
      <w:proofErr w:type="gramEnd"/>
      <w:r w:rsidRPr="008070AB">
        <w:rPr>
          <w:b/>
          <w:bCs/>
        </w:rPr>
        <w:t xml:space="preserve"> </w:t>
      </w:r>
      <w:r w:rsidR="00075003">
        <w:rPr>
          <w:b/>
          <w:bCs/>
        </w:rPr>
        <w:t>задужености</w:t>
      </w:r>
      <w:r w:rsidRPr="008070AB">
        <w:rPr>
          <w:b/>
          <w:bCs/>
        </w:rPr>
        <w:t xml:space="preserve"> (</w:t>
      </w:r>
      <w:r w:rsidR="00075003">
        <w:rPr>
          <w:b/>
          <w:bCs/>
        </w:rPr>
        <w:t>број</w:t>
      </w:r>
      <w:r w:rsidRPr="008070AB">
        <w:rPr>
          <w:b/>
          <w:bCs/>
        </w:rPr>
        <w:t xml:space="preserve"> </w:t>
      </w:r>
      <w:r w:rsidR="00075003">
        <w:rPr>
          <w:b/>
          <w:bCs/>
        </w:rPr>
        <w:t>година</w:t>
      </w:r>
      <w:r w:rsidRPr="008070AB">
        <w:rPr>
          <w:b/>
          <w:bCs/>
        </w:rPr>
        <w:t xml:space="preserve">); (6) </w:t>
      </w:r>
      <w:r w:rsidR="00075003">
        <w:rPr>
          <w:b/>
          <w:bCs/>
        </w:rPr>
        <w:t>коефицијент</w:t>
      </w:r>
      <w:r w:rsidRPr="008070AB">
        <w:rPr>
          <w:b/>
          <w:bCs/>
        </w:rPr>
        <w:t xml:space="preserve"> </w:t>
      </w:r>
      <w:r w:rsidR="00075003">
        <w:rPr>
          <w:b/>
          <w:bCs/>
        </w:rPr>
        <w:t>финансијске</w:t>
      </w:r>
      <w:r w:rsidRPr="008070AB">
        <w:rPr>
          <w:b/>
          <w:bCs/>
        </w:rPr>
        <w:t xml:space="preserve"> </w:t>
      </w:r>
      <w:r w:rsidR="00075003">
        <w:rPr>
          <w:b/>
          <w:bCs/>
        </w:rPr>
        <w:t>стабилности</w:t>
      </w:r>
      <w:r w:rsidRPr="008070AB">
        <w:rPr>
          <w:b/>
          <w:bCs/>
        </w:rPr>
        <w:t>.</w:t>
      </w:r>
    </w:p>
    <w:p w:rsidR="003D6FC3" w:rsidRPr="008070AB" w:rsidRDefault="00075003" w:rsidP="003D6FC3">
      <w:pPr>
        <w:ind w:left="360"/>
        <w:jc w:val="both"/>
        <w:rPr>
          <w:b/>
          <w:bCs/>
        </w:rPr>
      </w:pPr>
      <w:proofErr w:type="gramStart"/>
      <w:r>
        <w:rPr>
          <w:b/>
          <w:bCs/>
        </w:rPr>
        <w:t>На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основу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добијених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резултата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донијети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закључак</w:t>
      </w:r>
      <w:r w:rsidR="003D6FC3" w:rsidRPr="008070AB">
        <w:rPr>
          <w:b/>
          <w:bCs/>
        </w:rPr>
        <w:t xml:space="preserve"> – </w:t>
      </w:r>
      <w:r>
        <w:rPr>
          <w:b/>
          <w:bCs/>
        </w:rPr>
        <w:t>процјену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солвентности</w:t>
      </w:r>
      <w:r w:rsidR="003D6FC3" w:rsidRPr="008070AB">
        <w:rPr>
          <w:b/>
          <w:bCs/>
        </w:rPr>
        <w:t xml:space="preserve"> </w:t>
      </w:r>
      <w:r>
        <w:rPr>
          <w:b/>
          <w:bCs/>
        </w:rPr>
        <w:t>п</w:t>
      </w:r>
      <w:r w:rsidR="00C61008">
        <w:rPr>
          <w:b/>
          <w:bCs/>
        </w:rPr>
        <w:t>ре</w:t>
      </w:r>
      <w:r>
        <w:rPr>
          <w:b/>
          <w:bCs/>
        </w:rPr>
        <w:t>дузећа</w:t>
      </w:r>
      <w:r w:rsidR="003D6FC3" w:rsidRPr="008070AB">
        <w:rPr>
          <w:b/>
          <w:bCs/>
        </w:rPr>
        <w:t xml:space="preserve"> </w:t>
      </w:r>
      <w:r w:rsidR="003D6FC3" w:rsidRPr="008070AB">
        <w:t>„</w:t>
      </w:r>
      <w:r w:rsidR="003D6FC3" w:rsidRPr="008070AB">
        <w:rPr>
          <w:b/>
          <w:bCs/>
        </w:rPr>
        <w:t>XY</w:t>
      </w:r>
      <w:r w:rsidR="003D6FC3" w:rsidRPr="008070AB">
        <w:t>“.</w:t>
      </w:r>
      <w:proofErr w:type="gramEnd"/>
    </w:p>
    <w:p w:rsidR="00C61008" w:rsidRDefault="00C61008" w:rsidP="00C61008">
      <w:pPr>
        <w:jc w:val="both"/>
        <w:rPr>
          <w:b/>
          <w:u w:val="single"/>
          <w:lang w:val="sr-Cyrl-CS"/>
        </w:rPr>
      </w:pPr>
    </w:p>
    <w:p w:rsidR="00C61008" w:rsidRDefault="00C61008" w:rsidP="00C61008">
      <w:pPr>
        <w:jc w:val="both"/>
        <w:rPr>
          <w:b/>
          <w:u w:val="single"/>
          <w:lang w:val="sr-Cyrl-CS"/>
        </w:rPr>
      </w:pPr>
    </w:p>
    <w:p w:rsidR="00C61008" w:rsidRPr="006E60CF" w:rsidRDefault="00C61008" w:rsidP="00C61008">
      <w:pPr>
        <w:jc w:val="both"/>
        <w:rPr>
          <w:b/>
          <w:u w:val="single"/>
          <w:lang w:val="sr-Cyrl-CS"/>
        </w:rPr>
      </w:pPr>
      <w:r w:rsidRPr="006E60CF">
        <w:rPr>
          <w:b/>
          <w:u w:val="single"/>
          <w:lang w:val="sr-Cyrl-CS"/>
        </w:rPr>
        <w:t>Рјешење</w:t>
      </w:r>
      <w:r>
        <w:rPr>
          <w:b/>
          <w:u w:val="single"/>
          <w:lang w:val="sr-Cyrl-CS"/>
        </w:rPr>
        <w:t>:</w:t>
      </w:r>
    </w:p>
    <w:p w:rsidR="00A468A6" w:rsidRPr="00864050" w:rsidRDefault="00A468A6" w:rsidP="00A468A6">
      <w:pPr>
        <w:jc w:val="both"/>
        <w:rPr>
          <w:b/>
          <w:bCs/>
          <w:color w:val="000000" w:themeColor="text1"/>
        </w:rPr>
      </w:pPr>
      <w:r w:rsidRPr="00E56B86">
        <w:rPr>
          <w:b/>
          <w:bCs/>
          <w:color w:val="000000" w:themeColor="text1"/>
        </w:rPr>
        <w:t xml:space="preserve">(5 </w:t>
      </w:r>
      <w:r w:rsidR="00E56B86">
        <w:rPr>
          <w:b/>
          <w:bCs/>
          <w:color w:val="000000" w:themeColor="text1"/>
        </w:rPr>
        <w:t>бодова</w:t>
      </w:r>
      <w:r w:rsidRPr="00E56B86">
        <w:rPr>
          <w:b/>
          <w:bCs/>
          <w:color w:val="000000" w:themeColor="text1"/>
        </w:rPr>
        <w:t>)</w:t>
      </w:r>
    </w:p>
    <w:tbl>
      <w:tblPr>
        <w:tblW w:w="9469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3250"/>
        <w:gridCol w:w="1254"/>
        <w:gridCol w:w="399"/>
        <w:gridCol w:w="3421"/>
        <w:gridCol w:w="1145"/>
      </w:tblGrid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12" w:space="0" w:color="000080"/>
              <w:left w:val="single" w:sz="12" w:space="0" w:color="000080"/>
              <w:bottom w:val="doub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468A6" w:rsidRPr="00A468A6" w:rsidRDefault="00E56B86" w:rsidP="00C76ECF">
            <w:pPr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Подаци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из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билан</w:t>
            </w:r>
            <w:r w:rsidR="00C76ECF">
              <w:rPr>
                <w:b/>
                <w:bCs/>
                <w:color w:val="000000" w:themeColor="text1"/>
                <w:lang w:val="sr-Cyrl-BA"/>
              </w:rPr>
              <w:t>са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стања</w:t>
            </w:r>
            <w:r w:rsidR="00A468A6" w:rsidRPr="00A468A6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1254" w:type="dxa"/>
            <w:tcBorders>
              <w:top w:val="single" w:sz="12" w:space="0" w:color="000080"/>
              <w:left w:val="nil"/>
              <w:bottom w:val="double" w:sz="4" w:space="0" w:color="auto"/>
              <w:right w:val="single" w:sz="12" w:space="0" w:color="000080"/>
            </w:tcBorders>
            <w:shd w:val="clear" w:color="auto" w:fill="99CCFF"/>
            <w:vAlign w:val="center"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4566" w:type="dxa"/>
            <w:gridSpan w:val="2"/>
            <w:tcBorders>
              <w:top w:val="single" w:sz="12" w:space="0" w:color="000080"/>
              <w:left w:val="single" w:sz="12" w:space="0" w:color="000080"/>
              <w:bottom w:val="double" w:sz="4" w:space="0" w:color="auto"/>
              <w:right w:val="single" w:sz="12" w:space="0" w:color="000080"/>
            </w:tcBorders>
            <w:shd w:val="clear" w:color="auto" w:fill="99CCFF"/>
            <w:vAlign w:val="center"/>
            <w:hideMark/>
          </w:tcPr>
          <w:p w:rsidR="00A468A6" w:rsidRPr="00A468A6" w:rsidRDefault="00E56B86" w:rsidP="00C76ECF">
            <w:pPr>
              <w:ind w:right="113"/>
              <w:rPr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Подаци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из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билан</w:t>
            </w:r>
            <w:r w:rsidR="00C76ECF">
              <w:rPr>
                <w:b/>
                <w:bCs/>
                <w:color w:val="000000" w:themeColor="text1"/>
                <w:lang w:val="sr-Cyrl-BA"/>
              </w:rPr>
              <w:t>са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успјеха</w:t>
            </w:r>
            <w:r w:rsidR="00A468A6" w:rsidRPr="00A468A6">
              <w:rPr>
                <w:b/>
                <w:bCs/>
                <w:color w:val="000000" w:themeColor="text1"/>
              </w:rPr>
              <w:t>: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double" w:sz="4" w:space="0" w:color="auto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Зграде</w:t>
            </w:r>
            <w:r w:rsidR="00A468A6" w:rsidRPr="00A468A6">
              <w:rPr>
                <w:color w:val="000000" w:themeColor="text1"/>
              </w:rPr>
              <w:t xml:space="preserve"> </w:t>
            </w:r>
          </w:p>
        </w:tc>
        <w:tc>
          <w:tcPr>
            <w:tcW w:w="1254" w:type="dxa"/>
            <w:tcBorders>
              <w:top w:val="double" w:sz="4" w:space="0" w:color="auto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750.000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double" w:sz="4" w:space="0" w:color="auto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Приходи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продаје</w:t>
            </w:r>
          </w:p>
        </w:tc>
        <w:tc>
          <w:tcPr>
            <w:tcW w:w="1145" w:type="dxa"/>
            <w:tcBorders>
              <w:top w:val="double" w:sz="4" w:space="0" w:color="auto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175.000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Исправак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вриједности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зграда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57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(225.000)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Трошкови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продано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77.500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Стројеви</w:t>
            </w:r>
            <w:r w:rsidR="00A468A6" w:rsidRPr="00A468A6">
              <w:rPr>
                <w:color w:val="000000" w:themeColor="text1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375.000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  <w:hideMark/>
          </w:tcPr>
          <w:p w:rsidR="00A468A6" w:rsidRPr="00A468A6" w:rsidRDefault="00E56B86" w:rsidP="00A468A6">
            <w:pPr>
              <w:jc w:val="both"/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Бруто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добит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A468A6">
              <w:rPr>
                <w:b/>
                <w:bCs/>
                <w:color w:val="000000" w:themeColor="text1"/>
              </w:rPr>
              <w:t>97.500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C76ECF" w:rsidRDefault="00E56B86" w:rsidP="00C76ECF">
            <w:pPr>
              <w:rPr>
                <w:color w:val="000000" w:themeColor="text1"/>
                <w:lang w:val="sr-Cyrl-BA" w:eastAsia="hr-HR"/>
              </w:rPr>
            </w:pPr>
            <w:r>
              <w:rPr>
                <w:color w:val="000000" w:themeColor="text1"/>
              </w:rPr>
              <w:t>Исправак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вриједности</w:t>
            </w:r>
            <w:r w:rsidR="00A468A6" w:rsidRPr="00A468A6">
              <w:rPr>
                <w:color w:val="000000" w:themeColor="text1"/>
              </w:rPr>
              <w:t xml:space="preserve"> </w:t>
            </w:r>
            <w:r w:rsidR="00C76ECF">
              <w:rPr>
                <w:color w:val="000000" w:themeColor="text1"/>
                <w:lang w:val="sr-Cyrl-BA"/>
              </w:rPr>
              <w:t>постројења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57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(132.500)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468A6">
            <w:pPr>
              <w:ind w:right="-57"/>
              <w:jc w:val="both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Трошкови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управе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администрације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50.750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Залихе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37.000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  <w:hideMark/>
          </w:tcPr>
          <w:p w:rsidR="00A468A6" w:rsidRPr="00A468A6" w:rsidRDefault="00E56B86" w:rsidP="00A110D6">
            <w:pPr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Оперативна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добит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A468A6">
              <w:rPr>
                <w:b/>
                <w:bCs/>
                <w:color w:val="000000" w:themeColor="text1"/>
              </w:rPr>
              <w:t>46.750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Потраживања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25.000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Камате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кредите</w:t>
            </w:r>
            <w:r w:rsidR="00A468A6" w:rsidRPr="00A468A6">
              <w:rPr>
                <w:color w:val="000000" w:themeColor="text1"/>
              </w:rPr>
              <w:t xml:space="preserve"> </w:t>
            </w:r>
          </w:p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(</w:t>
            </w:r>
            <w:r w:rsidR="00E56B86">
              <w:rPr>
                <w:color w:val="000000" w:themeColor="text1"/>
              </w:rPr>
              <w:t>расход</w:t>
            </w:r>
            <w:r w:rsidRPr="00A468A6">
              <w:rPr>
                <w:color w:val="000000" w:themeColor="text1"/>
              </w:rPr>
              <w:t xml:space="preserve"> </w:t>
            </w:r>
            <w:r w:rsidR="00E56B86">
              <w:rPr>
                <w:color w:val="000000" w:themeColor="text1"/>
              </w:rPr>
              <w:t>финанцирања</w:t>
            </w:r>
            <w:r w:rsidRPr="00A468A6">
              <w:rPr>
                <w:color w:val="000000" w:themeColor="text1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Новац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23.000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23.250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  <w:hideMark/>
          </w:tcPr>
          <w:p w:rsidR="00A468A6" w:rsidRPr="00A468A6" w:rsidRDefault="00E56B86" w:rsidP="00A110D6">
            <w:pPr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АКТИВА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(</w:t>
            </w:r>
            <w:r>
              <w:rPr>
                <w:b/>
                <w:bCs/>
                <w:color w:val="000000" w:themeColor="text1"/>
              </w:rPr>
              <w:t>укупно</w:t>
            </w:r>
            <w:r w:rsidR="00A468A6" w:rsidRPr="00A468A6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A468A6">
              <w:rPr>
                <w:b/>
                <w:bCs/>
                <w:color w:val="000000" w:themeColor="text1"/>
              </w:rPr>
              <w:t>852.500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  <w:hideMark/>
          </w:tcPr>
          <w:p w:rsidR="00A468A6" w:rsidRPr="00A468A6" w:rsidRDefault="00E56B86" w:rsidP="00A468A6">
            <w:pPr>
              <w:jc w:val="both"/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Добит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прије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опорезивања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A468A6">
              <w:rPr>
                <w:b/>
                <w:bCs/>
                <w:color w:val="000000" w:themeColor="text1"/>
              </w:rPr>
              <w:t>23.500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  <w:hideMark/>
          </w:tcPr>
          <w:p w:rsidR="00A468A6" w:rsidRPr="00A468A6" w:rsidRDefault="00E56B86" w:rsidP="00A110D6">
            <w:pPr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Властити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капитал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A468A6">
              <w:rPr>
                <w:b/>
                <w:bCs/>
                <w:color w:val="000000" w:themeColor="text1"/>
              </w:rPr>
              <w:t>630.000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  <w:hideMark/>
          </w:tcPr>
          <w:p w:rsidR="00A468A6" w:rsidRPr="00A468A6" w:rsidRDefault="00E56B86" w:rsidP="00A110D6">
            <w:pPr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Порез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добит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(10%)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A468A6">
              <w:rPr>
                <w:b/>
                <w:bCs/>
                <w:color w:val="000000" w:themeColor="text1"/>
              </w:rPr>
              <w:t>2.350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Обвезе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добављачима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22.500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single" w:sz="12" w:space="0" w:color="000080"/>
            </w:tcBorders>
            <w:vAlign w:val="center"/>
          </w:tcPr>
          <w:p w:rsidR="00A468A6" w:rsidRPr="00A468A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nil"/>
            </w:tcBorders>
            <w:shd w:val="clear" w:color="auto" w:fill="CCFFFF"/>
            <w:vAlign w:val="center"/>
            <w:hideMark/>
          </w:tcPr>
          <w:p w:rsidR="00A468A6" w:rsidRPr="00A468A6" w:rsidRDefault="00E56B86" w:rsidP="00A110D6">
            <w:pPr>
              <w:rPr>
                <w:b/>
                <w:bCs/>
                <w:color w:val="000000" w:themeColor="text1"/>
                <w:lang w:val="hr-HR" w:eastAsia="hr-HR"/>
              </w:rPr>
            </w:pPr>
            <w:r>
              <w:rPr>
                <w:b/>
                <w:bCs/>
                <w:color w:val="000000" w:themeColor="text1"/>
              </w:rPr>
              <w:t>Добит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послије</w:t>
            </w:r>
            <w:r w:rsidR="00A468A6" w:rsidRPr="00A468A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опорезивања</w:t>
            </w:r>
          </w:p>
        </w:tc>
        <w:tc>
          <w:tcPr>
            <w:tcW w:w="1145" w:type="dxa"/>
            <w:tcBorders>
              <w:top w:val="single" w:sz="4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b/>
                <w:bCs/>
                <w:color w:val="000000" w:themeColor="text1"/>
                <w:lang w:val="hr-HR" w:eastAsia="hr-HR"/>
              </w:rPr>
            </w:pPr>
            <w:r w:rsidRPr="00A468A6">
              <w:rPr>
                <w:b/>
                <w:bCs/>
                <w:color w:val="000000" w:themeColor="text1"/>
              </w:rPr>
              <w:t>21.150</w:t>
            </w:r>
          </w:p>
        </w:tc>
      </w:tr>
      <w:tr w:rsidR="00A468A6" w:rsidRPr="00864050" w:rsidTr="00A468A6">
        <w:trPr>
          <w:jc w:val="center"/>
        </w:trPr>
        <w:tc>
          <w:tcPr>
            <w:tcW w:w="3250" w:type="dxa"/>
            <w:tcBorders>
              <w:top w:val="single" w:sz="4" w:space="0" w:color="000080"/>
              <w:left w:val="single" w:sz="12" w:space="0" w:color="000080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A468A6" w:rsidRDefault="00E56B86" w:rsidP="00A110D6">
            <w:pPr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Обвезе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дугорочне</w:t>
            </w:r>
            <w:r w:rsidR="00A468A6" w:rsidRPr="00A468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кредите</w:t>
            </w:r>
          </w:p>
        </w:tc>
        <w:tc>
          <w:tcPr>
            <w:tcW w:w="1254" w:type="dxa"/>
            <w:tcBorders>
              <w:top w:val="single" w:sz="4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  <w:r w:rsidRPr="00A468A6">
              <w:rPr>
                <w:color w:val="000000" w:themeColor="text1"/>
              </w:rPr>
              <w:t>200.000</w:t>
            </w:r>
          </w:p>
        </w:tc>
        <w:tc>
          <w:tcPr>
            <w:tcW w:w="399" w:type="dxa"/>
            <w:tcBorders>
              <w:top w:val="nil"/>
              <w:left w:val="single" w:sz="12" w:space="0" w:color="000080"/>
              <w:bottom w:val="nil"/>
              <w:right w:val="nil"/>
            </w:tcBorders>
            <w:vAlign w:val="center"/>
          </w:tcPr>
          <w:p w:rsidR="00A468A6" w:rsidRPr="00A468A6" w:rsidRDefault="00A468A6" w:rsidP="00A468A6">
            <w:pPr>
              <w:jc w:val="right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421" w:type="dxa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</w:tcPr>
          <w:p w:rsidR="00A468A6" w:rsidRPr="00A468A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145" w:type="dxa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</w:tcPr>
          <w:p w:rsidR="00A468A6" w:rsidRPr="00A468A6" w:rsidRDefault="00A468A6" w:rsidP="00A468A6">
            <w:pPr>
              <w:ind w:right="113"/>
              <w:jc w:val="right"/>
              <w:rPr>
                <w:color w:val="000000" w:themeColor="text1"/>
                <w:lang w:val="hr-HR" w:eastAsia="hr-HR"/>
              </w:rPr>
            </w:pPr>
          </w:p>
        </w:tc>
      </w:tr>
    </w:tbl>
    <w:p w:rsidR="00A468A6" w:rsidRDefault="00A468A6" w:rsidP="00A468A6">
      <w:pPr>
        <w:jc w:val="both"/>
        <w:rPr>
          <w:b/>
          <w:bCs/>
          <w:color w:val="000000" w:themeColor="text1"/>
          <w:shd w:val="clear" w:color="auto" w:fill="CC99FF"/>
        </w:rPr>
      </w:pPr>
    </w:p>
    <w:p w:rsidR="00A468A6" w:rsidRDefault="00A468A6" w:rsidP="00A468A6">
      <w:pPr>
        <w:jc w:val="both"/>
        <w:rPr>
          <w:b/>
          <w:bCs/>
          <w:color w:val="000000" w:themeColor="text1"/>
          <w:shd w:val="clear" w:color="auto" w:fill="CC99FF"/>
        </w:rPr>
      </w:pPr>
    </w:p>
    <w:p w:rsidR="00A468A6" w:rsidRDefault="00A468A6" w:rsidP="00A468A6">
      <w:pPr>
        <w:jc w:val="both"/>
        <w:rPr>
          <w:b/>
          <w:bCs/>
          <w:color w:val="000000" w:themeColor="text1"/>
          <w:shd w:val="clear" w:color="auto" w:fill="CC99FF"/>
        </w:rPr>
      </w:pPr>
    </w:p>
    <w:p w:rsidR="00A468A6" w:rsidRDefault="00A468A6" w:rsidP="00A468A6">
      <w:pPr>
        <w:jc w:val="both"/>
        <w:rPr>
          <w:b/>
          <w:bCs/>
          <w:color w:val="000000" w:themeColor="text1"/>
          <w:shd w:val="clear" w:color="auto" w:fill="CC99FF"/>
        </w:rPr>
      </w:pPr>
    </w:p>
    <w:p w:rsidR="00A468A6" w:rsidRDefault="00A468A6" w:rsidP="00A468A6">
      <w:pPr>
        <w:jc w:val="both"/>
        <w:rPr>
          <w:b/>
          <w:bCs/>
          <w:color w:val="000000" w:themeColor="text1"/>
          <w:shd w:val="clear" w:color="auto" w:fill="CC99FF"/>
        </w:rPr>
      </w:pPr>
    </w:p>
    <w:p w:rsidR="00A468A6" w:rsidRPr="00E56B86" w:rsidRDefault="00A468A6" w:rsidP="00A468A6">
      <w:pPr>
        <w:jc w:val="both"/>
        <w:rPr>
          <w:b/>
          <w:bCs/>
          <w:color w:val="000000" w:themeColor="text1"/>
        </w:rPr>
      </w:pPr>
      <w:r w:rsidRPr="00E56B86">
        <w:rPr>
          <w:b/>
          <w:bCs/>
          <w:color w:val="000000" w:themeColor="text1"/>
        </w:rPr>
        <w:t xml:space="preserve">(20 </w:t>
      </w:r>
      <w:r w:rsidR="00E56B86" w:rsidRPr="00E56B86">
        <w:rPr>
          <w:b/>
          <w:bCs/>
          <w:color w:val="000000" w:themeColor="text1"/>
        </w:rPr>
        <w:t>бодова</w:t>
      </w:r>
      <w:r w:rsidRPr="00E56B86">
        <w:rPr>
          <w:b/>
          <w:bCs/>
          <w:color w:val="000000" w:themeColor="text1"/>
        </w:rPr>
        <w:t>)</w:t>
      </w:r>
    </w:p>
    <w:tbl>
      <w:tblPr>
        <w:tblW w:w="9639" w:type="dxa"/>
        <w:jc w:val="center"/>
        <w:tblLook w:val="01E0"/>
      </w:tblPr>
      <w:tblGrid>
        <w:gridCol w:w="1576"/>
        <w:gridCol w:w="295"/>
        <w:gridCol w:w="67"/>
        <w:gridCol w:w="179"/>
        <w:gridCol w:w="162"/>
        <w:gridCol w:w="73"/>
        <w:gridCol w:w="131"/>
        <w:gridCol w:w="62"/>
        <w:gridCol w:w="179"/>
        <w:gridCol w:w="140"/>
        <w:gridCol w:w="659"/>
        <w:gridCol w:w="253"/>
        <w:gridCol w:w="104"/>
        <w:gridCol w:w="90"/>
        <w:gridCol w:w="118"/>
        <w:gridCol w:w="264"/>
        <w:gridCol w:w="163"/>
        <w:gridCol w:w="361"/>
        <w:gridCol w:w="25"/>
        <w:gridCol w:w="411"/>
        <w:gridCol w:w="464"/>
        <w:gridCol w:w="39"/>
        <w:gridCol w:w="211"/>
        <w:gridCol w:w="107"/>
        <w:gridCol w:w="26"/>
        <w:gridCol w:w="149"/>
        <w:gridCol w:w="78"/>
        <w:gridCol w:w="352"/>
        <w:gridCol w:w="888"/>
        <w:gridCol w:w="67"/>
        <w:gridCol w:w="319"/>
        <w:gridCol w:w="307"/>
        <w:gridCol w:w="45"/>
        <w:gridCol w:w="329"/>
        <w:gridCol w:w="946"/>
      </w:tblGrid>
      <w:tr w:rsidR="00A468A6" w:rsidRPr="00E56B86" w:rsidTr="00A468A6">
        <w:trPr>
          <w:trHeight w:val="255"/>
          <w:jc w:val="center"/>
        </w:trPr>
        <w:tc>
          <w:tcPr>
            <w:tcW w:w="2336" w:type="dxa"/>
            <w:gridSpan w:val="7"/>
            <w:vMerge w:val="restart"/>
            <w:shd w:val="clear" w:color="auto" w:fill="CCFFFF"/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b/>
                <w:color w:val="000000" w:themeColor="text1"/>
              </w:rPr>
              <w:t>Удјел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туђег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капитала</w:t>
            </w:r>
          </w:p>
        </w:tc>
        <w:tc>
          <w:tcPr>
            <w:tcW w:w="382" w:type="dxa"/>
            <w:gridSpan w:val="3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5509" w:type="dxa"/>
            <w:gridSpan w:val="22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Дугорочне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обвезе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фиксном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каматом</w:t>
            </w:r>
          </w:p>
        </w:tc>
        <w:tc>
          <w:tcPr>
            <w:tcW w:w="376" w:type="dxa"/>
            <w:gridSpan w:val="2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036" w:type="dxa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0" w:type="auto"/>
            <w:gridSpan w:val="7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5509" w:type="dxa"/>
            <w:gridSpan w:val="22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Дугорочне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обвезе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фиксном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каматом</w:t>
            </w:r>
            <w:r w:rsidR="00A468A6" w:rsidRPr="00E56B86">
              <w:rPr>
                <w:color w:val="000000" w:themeColor="text1"/>
              </w:rPr>
              <w:t xml:space="preserve"> + </w:t>
            </w:r>
            <w:r>
              <w:rPr>
                <w:color w:val="000000" w:themeColor="text1"/>
              </w:rPr>
              <w:t>Властити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капитал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036" w:type="dxa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2336" w:type="dxa"/>
            <w:gridSpan w:val="7"/>
            <w:vMerge w:val="restart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82" w:type="dxa"/>
            <w:gridSpan w:val="3"/>
            <w:vMerge w:val="restart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2025" w:type="dxa"/>
            <w:gridSpan w:val="8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200.000</w:t>
            </w: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200.000</w:t>
            </w:r>
          </w:p>
        </w:tc>
        <w:tc>
          <w:tcPr>
            <w:tcW w:w="1324" w:type="dxa"/>
            <w:gridSpan w:val="3"/>
            <w:vMerge w:val="restart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 xml:space="preserve">= </w:t>
            </w:r>
            <w:r w:rsidRPr="00E56B86">
              <w:rPr>
                <w:b/>
                <w:bCs/>
                <w:color w:val="000000" w:themeColor="text1"/>
                <w:shd w:val="clear" w:color="auto" w:fill="CCFFFF"/>
              </w:rPr>
              <w:t>24,10%</w:t>
            </w:r>
          </w:p>
        </w:tc>
        <w:tc>
          <w:tcPr>
            <w:tcW w:w="2137" w:type="dxa"/>
            <w:gridSpan w:val="6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2025" w:type="dxa"/>
            <w:gridSpan w:val="8"/>
            <w:tcBorders>
              <w:top w:val="single" w:sz="12" w:space="0" w:color="000080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200.000 + 630.000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830.000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9639" w:type="dxa"/>
            <w:gridSpan w:val="3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  <w:hideMark/>
          </w:tcPr>
          <w:p w:rsidR="00A468A6" w:rsidRPr="00E56B86" w:rsidRDefault="00E56B86" w:rsidP="00C76ECF">
            <w:pPr>
              <w:jc w:val="both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Будући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контролна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мјера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</w:t>
            </w:r>
            <w:r w:rsidR="00A468A6" w:rsidRPr="00E56B86">
              <w:rPr>
                <w:color w:val="000000" w:themeColor="text1"/>
              </w:rPr>
              <w:t xml:space="preserve">x. 30-35%, </w:t>
            </w:r>
            <w:r>
              <w:rPr>
                <w:color w:val="000000" w:themeColor="text1"/>
              </w:rPr>
              <w:t>п</w:t>
            </w:r>
            <w:r w:rsidR="00C76ECF">
              <w:rPr>
                <w:color w:val="000000" w:themeColor="text1"/>
                <w:lang w:val="sr-Cyrl-BA"/>
              </w:rPr>
              <w:t>ре</w:t>
            </w:r>
            <w:r>
              <w:rPr>
                <w:color w:val="000000" w:themeColor="text1"/>
              </w:rPr>
              <w:t>дузеће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има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довољну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способност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покрића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својих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дугорочних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обвеза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вријеме</w:t>
            </w:r>
            <w:r w:rsidR="00A468A6" w:rsidRPr="00E56B86">
              <w:rPr>
                <w:color w:val="000000" w:themeColor="text1"/>
              </w:rPr>
              <w:t>.</w:t>
            </w: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1966" w:type="dxa"/>
            <w:gridSpan w:val="4"/>
            <w:vMerge w:val="restart"/>
            <w:shd w:val="clear" w:color="auto" w:fill="CCFFFF"/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b/>
                <w:color w:val="000000" w:themeColor="text1"/>
              </w:rPr>
              <w:t>Однос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укупних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обвеза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и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главнице</w:t>
            </w:r>
          </w:p>
        </w:tc>
        <w:tc>
          <w:tcPr>
            <w:tcW w:w="432" w:type="dxa"/>
            <w:gridSpan w:val="4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Укупне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обвезе</w:t>
            </w:r>
          </w:p>
        </w:tc>
        <w:tc>
          <w:tcPr>
            <w:tcW w:w="428" w:type="dxa"/>
            <w:gridSpan w:val="2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880" w:type="dxa"/>
            <w:gridSpan w:val="10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200.000 + 22.500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ind w:right="-57"/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222.500</w:t>
            </w:r>
          </w:p>
        </w:tc>
        <w:tc>
          <w:tcPr>
            <w:tcW w:w="2070" w:type="dxa"/>
            <w:gridSpan w:val="5"/>
            <w:vMerge w:val="restart"/>
            <w:vAlign w:val="center"/>
            <w:hideMark/>
          </w:tcPr>
          <w:p w:rsidR="00A468A6" w:rsidRPr="00E56B86" w:rsidRDefault="00A468A6" w:rsidP="00A468A6">
            <w:pPr>
              <w:ind w:right="-57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 xml:space="preserve">= </w:t>
            </w:r>
            <w:r w:rsidRPr="00E56B86">
              <w:rPr>
                <w:b/>
                <w:bCs/>
                <w:color w:val="000000" w:themeColor="text1"/>
                <w:shd w:val="clear" w:color="auto" w:fill="CCFFFF"/>
              </w:rPr>
              <w:t>0,3531</w:t>
            </w:r>
            <w:r w:rsidRPr="00E56B86">
              <w:rPr>
                <w:b/>
                <w:bCs/>
                <w:color w:val="000000" w:themeColor="text1"/>
              </w:rPr>
              <w:t xml:space="preserve"> </w:t>
            </w:r>
            <w:r w:rsidRPr="00E56B86">
              <w:rPr>
                <w:b/>
                <w:bCs/>
                <w:color w:val="000000" w:themeColor="text1"/>
                <w:shd w:val="clear" w:color="auto" w:fill="FFFF99"/>
              </w:rPr>
              <w:t>(0,35)</w:t>
            </w:r>
            <w:r w:rsidRPr="00E56B86">
              <w:rPr>
                <w:b/>
                <w:bCs/>
                <w:color w:val="000000" w:themeColor="text1"/>
              </w:rPr>
              <w:t xml:space="preserve"> </w:t>
            </w:r>
            <w:r w:rsidR="00E56B86">
              <w:rPr>
                <w:b/>
                <w:bCs/>
                <w:color w:val="000000" w:themeColor="text1"/>
              </w:rPr>
              <w:t>или</w:t>
            </w:r>
            <w:r w:rsidRPr="00E56B86">
              <w:rPr>
                <w:b/>
                <w:bCs/>
                <w:color w:val="000000" w:themeColor="text1"/>
              </w:rPr>
              <w:t xml:space="preserve"> </w:t>
            </w:r>
            <w:r w:rsidRPr="00E56B86">
              <w:rPr>
                <w:b/>
                <w:bCs/>
                <w:color w:val="000000" w:themeColor="text1"/>
                <w:shd w:val="clear" w:color="auto" w:fill="CCFFFF"/>
              </w:rPr>
              <w:t>35,31%</w:t>
            </w: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0" w:type="auto"/>
            <w:gridSpan w:val="4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554" w:type="dxa"/>
            <w:gridSpan w:val="7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Властити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капитал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880" w:type="dxa"/>
            <w:gridSpan w:val="10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630.000</w:t>
            </w:r>
          </w:p>
        </w:tc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ind w:right="-57"/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630.000</w:t>
            </w: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9639" w:type="dxa"/>
            <w:gridSpan w:val="3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  <w:hideMark/>
          </w:tcPr>
          <w:p w:rsidR="00A468A6" w:rsidRPr="00E56B86" w:rsidRDefault="00E56B8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Контролна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мјера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A468A6" w:rsidRPr="00E56B86">
              <w:rPr>
                <w:color w:val="000000" w:themeColor="text1"/>
              </w:rPr>
              <w:t xml:space="preserve"> 1:1, </w:t>
            </w:r>
            <w:r>
              <w:rPr>
                <w:color w:val="000000" w:themeColor="text1"/>
              </w:rPr>
              <w:t>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овај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однос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A468A6" w:rsidRPr="00E56B86">
              <w:rPr>
                <w:color w:val="000000" w:themeColor="text1"/>
              </w:rPr>
              <w:t xml:space="preserve"> 0</w:t>
            </w:r>
            <w:proofErr w:type="gramStart"/>
            <w:r w:rsidR="00A468A6" w:rsidRPr="00E56B86">
              <w:rPr>
                <w:color w:val="000000" w:themeColor="text1"/>
              </w:rPr>
              <w:t>,35:1</w:t>
            </w:r>
            <w:proofErr w:type="gramEnd"/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нам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говори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подузеће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није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задужено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преко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вриједности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властитог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капитала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што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задовољавајући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однос</w:t>
            </w:r>
            <w:r w:rsidR="00A468A6" w:rsidRPr="00E56B86">
              <w:rPr>
                <w:color w:val="000000" w:themeColor="text1"/>
              </w:rPr>
              <w:t>.</w:t>
            </w: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1715" w:type="dxa"/>
            <w:gridSpan w:val="2"/>
            <w:vMerge w:val="restart"/>
            <w:shd w:val="clear" w:color="auto" w:fill="CCFFFF"/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b/>
                <w:color w:val="000000" w:themeColor="text1"/>
                <w:lang w:val="hr-HR" w:eastAsia="hr-HR"/>
              </w:rPr>
            </w:pPr>
            <w:r>
              <w:rPr>
                <w:b/>
                <w:color w:val="000000" w:themeColor="text1"/>
              </w:rPr>
              <w:t>Однос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</w:p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b/>
                <w:color w:val="000000" w:themeColor="text1"/>
              </w:rPr>
              <w:t>покрића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камата</w:t>
            </w:r>
          </w:p>
        </w:tc>
        <w:tc>
          <w:tcPr>
            <w:tcW w:w="414" w:type="dxa"/>
            <w:gridSpan w:val="3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704" w:type="dxa"/>
            <w:gridSpan w:val="9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Оперативна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добит</w:t>
            </w:r>
          </w:p>
        </w:tc>
        <w:tc>
          <w:tcPr>
            <w:tcW w:w="384" w:type="dxa"/>
            <w:gridSpan w:val="2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46.750</w:t>
            </w:r>
          </w:p>
        </w:tc>
        <w:tc>
          <w:tcPr>
            <w:tcW w:w="847" w:type="dxa"/>
            <w:gridSpan w:val="5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 xml:space="preserve">= </w:t>
            </w:r>
            <w:r w:rsidRPr="00E56B86">
              <w:rPr>
                <w:b/>
                <w:bCs/>
                <w:color w:val="000000" w:themeColor="text1"/>
                <w:shd w:val="clear" w:color="auto" w:fill="CCFFFF"/>
              </w:rPr>
              <w:t>2,01</w:t>
            </w:r>
          </w:p>
        </w:tc>
        <w:tc>
          <w:tcPr>
            <w:tcW w:w="3610" w:type="dxa"/>
            <w:gridSpan w:val="10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704" w:type="dxa"/>
            <w:gridSpan w:val="9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Трошкови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камата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965" w:type="dxa"/>
            <w:gridSpan w:val="4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23.250</w:t>
            </w: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610" w:type="dxa"/>
            <w:gridSpan w:val="10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9639" w:type="dxa"/>
            <w:gridSpan w:val="3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  <w:hideMark/>
          </w:tcPr>
          <w:p w:rsidR="00A468A6" w:rsidRPr="00E56B86" w:rsidRDefault="00E56B8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Однос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покрића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камата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A468A6" w:rsidRPr="00E56B86">
              <w:rPr>
                <w:color w:val="000000" w:themeColor="text1"/>
              </w:rPr>
              <w:t xml:space="preserve"> 2</w:t>
            </w:r>
            <w:proofErr w:type="gramStart"/>
            <w:r w:rsidR="00A468A6" w:rsidRPr="00E56B86">
              <w:rPr>
                <w:color w:val="000000" w:themeColor="text1"/>
              </w:rPr>
              <w:t>,01</w:t>
            </w:r>
            <w:proofErr w:type="gramEnd"/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пута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нам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говори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оперативна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добит</w:t>
            </w:r>
            <w:r w:rsidR="00A468A6" w:rsidRPr="00E56B86">
              <w:rPr>
                <w:color w:val="000000" w:themeColor="text1"/>
              </w:rPr>
              <w:t xml:space="preserve"> 2 </w:t>
            </w:r>
            <w:r>
              <w:rPr>
                <w:color w:val="000000" w:themeColor="text1"/>
              </w:rPr>
              <w:t>пута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већа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плаћених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камата</w:t>
            </w:r>
            <w:r w:rsidR="00A468A6" w:rsidRPr="00E56B86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Контролна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мјера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пракси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A468A6" w:rsidRPr="00E56B86">
              <w:rPr>
                <w:color w:val="000000" w:themeColor="text1"/>
              </w:rPr>
              <w:t xml:space="preserve"> 3:1 (</w:t>
            </w:r>
            <w:r>
              <w:rPr>
                <w:color w:val="000000" w:themeColor="text1"/>
              </w:rPr>
              <w:t>више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A468A6" w:rsidRPr="00E56B86">
              <w:rPr>
                <w:color w:val="000000" w:themeColor="text1"/>
              </w:rPr>
              <w:t xml:space="preserve"> </w:t>
            </w:r>
            <w:r w:rsidR="00A468A6" w:rsidRPr="00E56B86">
              <w:rPr>
                <w:b/>
                <w:bCs/>
                <w:color w:val="000000" w:themeColor="text1"/>
              </w:rPr>
              <w:t>1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угрубо</w:t>
            </w:r>
            <w:r w:rsidR="00A468A6" w:rsidRPr="00E56B86">
              <w:rPr>
                <w:color w:val="000000" w:themeColor="text1"/>
              </w:rPr>
              <w:t xml:space="preserve">). </w:t>
            </w:r>
            <w:r>
              <w:rPr>
                <w:color w:val="000000" w:themeColor="text1"/>
              </w:rPr>
              <w:t>Подузеће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релативно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способно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подмиривати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своје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обвезе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кредиторима</w:t>
            </w:r>
            <w:r w:rsidR="00A468A6" w:rsidRPr="00E56B86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треба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узети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обзир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секторску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грану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подузећа</w:t>
            </w:r>
            <w:r w:rsidR="00A468A6" w:rsidRPr="00E56B86">
              <w:rPr>
                <w:color w:val="000000" w:themeColor="text1"/>
              </w:rPr>
              <w:t xml:space="preserve">), </w:t>
            </w:r>
            <w:r>
              <w:rPr>
                <w:color w:val="000000" w:themeColor="text1"/>
              </w:rPr>
              <w:t>те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постоји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становит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ступањ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вјеројатности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ће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они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наплатити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своју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камату</w:t>
            </w:r>
            <w:r w:rsidR="00A468A6" w:rsidRPr="00E56B86">
              <w:rPr>
                <w:color w:val="000000" w:themeColor="text1"/>
              </w:rPr>
              <w:t>.</w:t>
            </w: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1417" w:type="dxa"/>
            <w:vMerge w:val="restart"/>
            <w:shd w:val="clear" w:color="auto" w:fill="CCFFFF"/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b/>
                <w:color w:val="000000" w:themeColor="text1"/>
              </w:rPr>
              <w:t>Ступањ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задужености</w:t>
            </w:r>
          </w:p>
        </w:tc>
        <w:tc>
          <w:tcPr>
            <w:tcW w:w="365" w:type="dxa"/>
            <w:gridSpan w:val="2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603" w:type="dxa"/>
            <w:gridSpan w:val="8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Укупне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обвезе</w:t>
            </w:r>
          </w:p>
        </w:tc>
        <w:tc>
          <w:tcPr>
            <w:tcW w:w="357" w:type="dxa"/>
            <w:gridSpan w:val="2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ind w:right="-57"/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222.500</w:t>
            </w:r>
          </w:p>
        </w:tc>
        <w:tc>
          <w:tcPr>
            <w:tcW w:w="1261" w:type="dxa"/>
            <w:gridSpan w:val="6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 xml:space="preserve">= </w:t>
            </w:r>
            <w:r w:rsidRPr="00E56B86">
              <w:rPr>
                <w:b/>
                <w:bCs/>
                <w:color w:val="000000" w:themeColor="text1"/>
                <w:shd w:val="clear" w:color="auto" w:fill="CCFFFF"/>
              </w:rPr>
              <w:t>26,10%</w:t>
            </w:r>
          </w:p>
        </w:tc>
        <w:tc>
          <w:tcPr>
            <w:tcW w:w="3610" w:type="dxa"/>
            <w:gridSpan w:val="10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603" w:type="dxa"/>
            <w:gridSpan w:val="8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Укупна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актива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026" w:type="dxa"/>
            <w:gridSpan w:val="6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852.500</w:t>
            </w:r>
          </w:p>
        </w:tc>
        <w:tc>
          <w:tcPr>
            <w:tcW w:w="0" w:type="auto"/>
            <w:gridSpan w:val="6"/>
            <w:vMerge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610" w:type="dxa"/>
            <w:gridSpan w:val="10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5896" w:type="dxa"/>
            <w:gridSpan w:val="2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О</w:t>
            </w:r>
            <w:r w:rsidR="00A468A6" w:rsidRPr="00E56B8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К</w:t>
            </w:r>
            <w:r w:rsidR="00A468A6" w:rsidRPr="00E56B86">
              <w:rPr>
                <w:color w:val="000000" w:themeColor="text1"/>
              </w:rPr>
              <w:t xml:space="preserve">. – </w:t>
            </w:r>
            <w:r>
              <w:rPr>
                <w:color w:val="000000" w:themeColor="text1"/>
              </w:rPr>
              <w:t>контролна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мјера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мање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A468A6" w:rsidRPr="00E56B86">
              <w:rPr>
                <w:color w:val="000000" w:themeColor="text1"/>
              </w:rPr>
              <w:t xml:space="preserve"> 50%.</w:t>
            </w:r>
          </w:p>
        </w:tc>
        <w:tc>
          <w:tcPr>
            <w:tcW w:w="3743" w:type="dxa"/>
            <w:gridSpan w:val="12"/>
            <w:tcBorders>
              <w:top w:val="nil"/>
              <w:left w:val="single" w:sz="4" w:space="0" w:color="000080"/>
              <w:bottom w:val="nil"/>
              <w:right w:val="nil"/>
            </w:tcBorders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2203" w:type="dxa"/>
            <w:gridSpan w:val="6"/>
            <w:vMerge w:val="restart"/>
            <w:shd w:val="clear" w:color="auto" w:fill="CCFFFF"/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b/>
                <w:color w:val="000000" w:themeColor="text1"/>
              </w:rPr>
              <w:t>Фактор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задужености</w:t>
            </w:r>
            <w:r w:rsidR="00A468A6" w:rsidRPr="00E56B86">
              <w:rPr>
                <w:bCs/>
                <w:color w:val="000000" w:themeColor="text1"/>
              </w:rPr>
              <w:t>,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број</w:t>
            </w:r>
            <w:r w:rsidR="00A468A6" w:rsidRPr="00E56B8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година</w:t>
            </w:r>
          </w:p>
        </w:tc>
        <w:tc>
          <w:tcPr>
            <w:tcW w:w="375" w:type="dxa"/>
            <w:gridSpan w:val="3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3068" w:type="dxa"/>
            <w:gridSpan w:val="12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Укупне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обвезе</w:t>
            </w:r>
          </w:p>
        </w:tc>
        <w:tc>
          <w:tcPr>
            <w:tcW w:w="357" w:type="dxa"/>
            <w:gridSpan w:val="3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917" w:type="dxa"/>
            <w:gridSpan w:val="7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200.000 + 22.500</w:t>
            </w:r>
          </w:p>
        </w:tc>
        <w:tc>
          <w:tcPr>
            <w:tcW w:w="352" w:type="dxa"/>
            <w:gridSpan w:val="2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367" w:type="dxa"/>
            <w:gridSpan w:val="2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0" w:type="auto"/>
            <w:gridSpan w:val="6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068" w:type="dxa"/>
            <w:gridSpan w:val="12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Профит</w:t>
            </w:r>
            <w:r w:rsidR="00A468A6" w:rsidRPr="00E56B86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нето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добит</w:t>
            </w:r>
            <w:r w:rsidR="00A468A6" w:rsidRPr="00E56B86">
              <w:rPr>
                <w:color w:val="000000" w:themeColor="text1"/>
              </w:rPr>
              <w:t xml:space="preserve">)+ </w:t>
            </w:r>
            <w:r>
              <w:rPr>
                <w:color w:val="000000" w:themeColor="text1"/>
              </w:rPr>
              <w:t>Амортизација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917" w:type="dxa"/>
            <w:gridSpan w:val="7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21.150 + 40.000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2203" w:type="dxa"/>
            <w:gridSpan w:val="6"/>
            <w:vMerge w:val="restart"/>
            <w:vAlign w:val="center"/>
          </w:tcPr>
          <w:p w:rsidR="00A468A6" w:rsidRPr="00E56B86" w:rsidRDefault="00A468A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75" w:type="dxa"/>
            <w:gridSpan w:val="3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222.500</w:t>
            </w:r>
          </w:p>
        </w:tc>
        <w:tc>
          <w:tcPr>
            <w:tcW w:w="2047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80"/>
            </w:tcBorders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 xml:space="preserve">= </w:t>
            </w:r>
            <w:r w:rsidRPr="00E56B86">
              <w:rPr>
                <w:b/>
                <w:bCs/>
                <w:color w:val="000000" w:themeColor="text1"/>
                <w:shd w:val="clear" w:color="auto" w:fill="CCFFFF"/>
              </w:rPr>
              <w:t>3,64</w:t>
            </w:r>
            <w:r w:rsidRPr="00E56B86">
              <w:rPr>
                <w:b/>
                <w:bCs/>
                <w:color w:val="000000" w:themeColor="text1"/>
              </w:rPr>
              <w:t xml:space="preserve"> &lt; 5 </w:t>
            </w:r>
            <w:r w:rsidR="00E56B86">
              <w:rPr>
                <w:b/>
                <w:bCs/>
                <w:color w:val="000000" w:themeColor="text1"/>
              </w:rPr>
              <w:t>година</w:t>
            </w:r>
          </w:p>
        </w:tc>
        <w:tc>
          <w:tcPr>
            <w:tcW w:w="2235" w:type="dxa"/>
            <w:gridSpan w:val="9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  <w:hideMark/>
          </w:tcPr>
          <w:p w:rsidR="00A468A6" w:rsidRPr="00E56B86" w:rsidRDefault="00E56B86" w:rsidP="00A468A6">
            <w:pPr>
              <w:jc w:val="center"/>
              <w:rPr>
                <w:color w:val="000000" w:themeColor="text1"/>
                <w:lang w:val="hr-HR" w:eastAsia="hr-HR"/>
              </w:rPr>
            </w:pPr>
            <w:r>
              <w:rPr>
                <w:color w:val="000000" w:themeColor="text1"/>
              </w:rPr>
              <w:t>Према</w:t>
            </w:r>
            <w:r w:rsidR="00A468A6" w:rsidRPr="00E56B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томе</w:t>
            </w:r>
            <w:r w:rsidR="00A468A6" w:rsidRPr="00E56B86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О</w:t>
            </w:r>
            <w:r w:rsidR="00A468A6" w:rsidRPr="00E56B8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К</w:t>
            </w:r>
            <w:r w:rsidR="00A468A6" w:rsidRPr="00E56B86">
              <w:rPr>
                <w:color w:val="000000" w:themeColor="text1"/>
              </w:rPr>
              <w:t>.</w:t>
            </w:r>
          </w:p>
        </w:tc>
        <w:tc>
          <w:tcPr>
            <w:tcW w:w="352" w:type="dxa"/>
            <w:gridSpan w:val="2"/>
            <w:vMerge w:val="restart"/>
            <w:tcBorders>
              <w:top w:val="nil"/>
              <w:left w:val="single" w:sz="4" w:space="0" w:color="000080"/>
              <w:bottom w:val="nil"/>
              <w:right w:val="nil"/>
            </w:tcBorders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  <w:tr w:rsidR="00A468A6" w:rsidRPr="00E56B86" w:rsidTr="00A468A6">
        <w:trPr>
          <w:trHeight w:val="255"/>
          <w:jc w:val="center"/>
        </w:trPr>
        <w:tc>
          <w:tcPr>
            <w:tcW w:w="0" w:type="auto"/>
            <w:gridSpan w:val="6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060" w:type="dxa"/>
            <w:gridSpan w:val="3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ind w:right="-57"/>
              <w:jc w:val="center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61.150</w:t>
            </w:r>
          </w:p>
        </w:tc>
        <w:tc>
          <w:tcPr>
            <w:tcW w:w="0" w:type="auto"/>
            <w:gridSpan w:val="10"/>
            <w:vMerge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</w:p>
        </w:tc>
      </w:tr>
    </w:tbl>
    <w:p w:rsidR="00A468A6" w:rsidRPr="00E56B86" w:rsidRDefault="00A468A6" w:rsidP="00A468A6">
      <w:pPr>
        <w:pStyle w:val="BodyText"/>
        <w:spacing w:after="0"/>
        <w:rPr>
          <w:b/>
          <w:color w:val="000000" w:themeColor="text1"/>
          <w:sz w:val="24"/>
          <w:szCs w:val="24"/>
          <w:lang w:val="hr-BA" w:eastAsia="hr-HR"/>
        </w:rPr>
      </w:pPr>
    </w:p>
    <w:tbl>
      <w:tblPr>
        <w:tblW w:w="9639" w:type="dxa"/>
        <w:jc w:val="center"/>
        <w:tblLook w:val="01E0"/>
      </w:tblPr>
      <w:tblGrid>
        <w:gridCol w:w="2207"/>
        <w:gridCol w:w="352"/>
        <w:gridCol w:w="1044"/>
        <w:gridCol w:w="2115"/>
        <w:gridCol w:w="989"/>
        <w:gridCol w:w="1739"/>
        <w:gridCol w:w="362"/>
        <w:gridCol w:w="831"/>
      </w:tblGrid>
      <w:tr w:rsidR="00A468A6" w:rsidRPr="00E56B86" w:rsidTr="00A468A6">
        <w:trPr>
          <w:jc w:val="center"/>
        </w:trPr>
        <w:tc>
          <w:tcPr>
            <w:tcW w:w="2355" w:type="dxa"/>
            <w:vMerge w:val="restart"/>
            <w:shd w:val="clear" w:color="auto" w:fill="CCFFFF"/>
            <w:vAlign w:val="center"/>
            <w:hideMark/>
          </w:tcPr>
          <w:p w:rsidR="00A468A6" w:rsidRPr="00E56B86" w:rsidRDefault="00E56B86" w:rsidP="00A468A6">
            <w:pPr>
              <w:pStyle w:val="BodyText"/>
              <w:spacing w:after="0"/>
              <w:ind w:right="-57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Коефицијент</w:t>
            </w:r>
            <w:r w:rsidR="00A468A6" w:rsidRPr="00E56B8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финанцијске</w:t>
            </w:r>
            <w:r w:rsidR="00A468A6" w:rsidRPr="00E56B8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стабилности</w:t>
            </w:r>
          </w:p>
        </w:tc>
        <w:tc>
          <w:tcPr>
            <w:tcW w:w="333" w:type="dxa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Властити</w:t>
            </w:r>
            <w:r w:rsidR="00A468A6" w:rsidRPr="00E56B8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капитал</w:t>
            </w:r>
            <w:r w:rsidR="00A468A6" w:rsidRPr="00E56B86">
              <w:rPr>
                <w:bCs/>
                <w:color w:val="000000" w:themeColor="text1"/>
                <w:sz w:val="24"/>
                <w:szCs w:val="24"/>
              </w:rPr>
              <w:t xml:space="preserve"> + </w:t>
            </w:r>
            <w:r>
              <w:rPr>
                <w:bCs/>
                <w:color w:val="000000" w:themeColor="text1"/>
                <w:sz w:val="24"/>
                <w:szCs w:val="24"/>
              </w:rPr>
              <w:t>дугорочне</w:t>
            </w:r>
            <w:r w:rsidR="00A468A6" w:rsidRPr="00E56B8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обвезе</w:t>
            </w:r>
          </w:p>
        </w:tc>
        <w:tc>
          <w:tcPr>
            <w:tcW w:w="333" w:type="dxa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56B86">
              <w:rPr>
                <w:bCs/>
                <w:color w:val="000000" w:themeColor="text1"/>
                <w:sz w:val="24"/>
                <w:szCs w:val="24"/>
              </w:rPr>
              <w:t>630.000 + 200.000</w:t>
            </w:r>
          </w:p>
        </w:tc>
        <w:tc>
          <w:tcPr>
            <w:tcW w:w="364" w:type="dxa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976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b/>
                <w:color w:val="000000" w:themeColor="text1"/>
                <w:lang w:val="hr-BA"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3362" w:type="dxa"/>
            <w:gridSpan w:val="2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E56B8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Дуготрајна</w:t>
            </w:r>
            <w:r w:rsidR="00A468A6" w:rsidRPr="00E56B8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имовина</w:t>
            </w:r>
            <w:r w:rsidR="00A468A6" w:rsidRPr="00E56B86">
              <w:rPr>
                <w:bCs/>
                <w:color w:val="000000" w:themeColor="text1"/>
                <w:sz w:val="24"/>
                <w:szCs w:val="24"/>
              </w:rPr>
              <w:t xml:space="preserve"> + </w:t>
            </w:r>
            <w:r>
              <w:rPr>
                <w:bCs/>
                <w:color w:val="000000" w:themeColor="text1"/>
                <w:sz w:val="24"/>
                <w:szCs w:val="24"/>
              </w:rPr>
              <w:t>залихе</w:t>
            </w:r>
          </w:p>
        </w:tc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916" w:type="dxa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56B86">
              <w:rPr>
                <w:bCs/>
                <w:color w:val="000000" w:themeColor="text1"/>
                <w:sz w:val="24"/>
                <w:szCs w:val="24"/>
              </w:rPr>
              <w:t>767.500 + 37.000</w:t>
            </w:r>
          </w:p>
        </w:tc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976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2355" w:type="dxa"/>
            <w:vMerge w:val="restart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33" w:type="dxa"/>
            <w:vMerge w:val="restart"/>
            <w:vAlign w:val="center"/>
            <w:hideMark/>
          </w:tcPr>
          <w:p w:rsidR="00A468A6" w:rsidRPr="00E56B86" w:rsidRDefault="00A468A6" w:rsidP="00A468A6">
            <w:pPr>
              <w:jc w:val="both"/>
              <w:rPr>
                <w:color w:val="000000" w:themeColor="text1"/>
                <w:lang w:val="hr-HR" w:eastAsia="hr-HR"/>
              </w:rPr>
            </w:pPr>
            <w:r w:rsidRPr="00E56B86">
              <w:rPr>
                <w:color w:val="000000" w:themeColor="text1"/>
              </w:rPr>
              <w:t>=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000080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56B86">
              <w:rPr>
                <w:bCs/>
                <w:color w:val="000000" w:themeColor="text1"/>
                <w:sz w:val="24"/>
                <w:szCs w:val="24"/>
              </w:rPr>
              <w:t>830.000</w:t>
            </w:r>
          </w:p>
        </w:tc>
        <w:tc>
          <w:tcPr>
            <w:tcW w:w="1500" w:type="dxa"/>
            <w:vMerge w:val="restart"/>
            <w:vAlign w:val="center"/>
            <w:hideMark/>
          </w:tcPr>
          <w:p w:rsidR="00A468A6" w:rsidRPr="00E56B86" w:rsidRDefault="00A468A6" w:rsidP="00A468A6">
            <w:pPr>
              <w:pStyle w:val="BodyText"/>
              <w:spacing w:after="0"/>
              <w:ind w:right="432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  <w:r w:rsidRPr="00E56B86">
              <w:rPr>
                <w:color w:val="000000" w:themeColor="text1"/>
                <w:sz w:val="24"/>
                <w:szCs w:val="24"/>
              </w:rPr>
              <w:t xml:space="preserve">= </w:t>
            </w:r>
            <w:r w:rsidRPr="00E56B86">
              <w:rPr>
                <w:b/>
                <w:bCs/>
                <w:color w:val="000000" w:themeColor="text1"/>
                <w:sz w:val="24"/>
                <w:szCs w:val="24"/>
              </w:rPr>
              <w:t>1,0317</w:t>
            </w:r>
          </w:p>
        </w:tc>
        <w:tc>
          <w:tcPr>
            <w:tcW w:w="1140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916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64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b/>
                <w:color w:val="000000" w:themeColor="text1"/>
                <w:lang w:val="hr-BA"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color w:val="000000" w:themeColor="text1"/>
                <w:lang w:val="hr-HR" w:eastAsia="hr-HR"/>
              </w:rPr>
            </w:pPr>
          </w:p>
        </w:tc>
        <w:tc>
          <w:tcPr>
            <w:tcW w:w="1055" w:type="dxa"/>
            <w:tcBorders>
              <w:top w:val="single" w:sz="12" w:space="0" w:color="000080"/>
              <w:left w:val="nil"/>
              <w:bottom w:val="nil"/>
              <w:right w:val="nil"/>
            </w:tcBorders>
            <w:vAlign w:val="center"/>
            <w:hideMark/>
          </w:tcPr>
          <w:p w:rsidR="00A468A6" w:rsidRPr="00E56B86" w:rsidRDefault="00A468A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56B86">
              <w:rPr>
                <w:bCs/>
                <w:color w:val="000000" w:themeColor="text1"/>
                <w:sz w:val="24"/>
                <w:szCs w:val="24"/>
              </w:rPr>
              <w:t>804.500</w:t>
            </w:r>
          </w:p>
        </w:tc>
        <w:tc>
          <w:tcPr>
            <w:tcW w:w="0" w:type="auto"/>
            <w:vMerge/>
            <w:vAlign w:val="center"/>
            <w:hideMark/>
          </w:tcPr>
          <w:p w:rsidR="00A468A6" w:rsidRPr="00E56B86" w:rsidRDefault="00A468A6" w:rsidP="00A110D6">
            <w:pPr>
              <w:rPr>
                <w:b/>
                <w:color w:val="000000" w:themeColor="text1"/>
                <w:lang w:val="hr-BA" w:eastAsia="hr-HR"/>
              </w:rPr>
            </w:pPr>
          </w:p>
        </w:tc>
        <w:tc>
          <w:tcPr>
            <w:tcW w:w="1140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916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jc w:val="center"/>
              <w:rPr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64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vAlign w:val="center"/>
          </w:tcPr>
          <w:p w:rsidR="00A468A6" w:rsidRPr="00E56B86" w:rsidRDefault="00A468A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A468A6" w:rsidRPr="00E56B86" w:rsidTr="00A468A6">
        <w:trPr>
          <w:jc w:val="center"/>
        </w:trPr>
        <w:tc>
          <w:tcPr>
            <w:tcW w:w="9639" w:type="dxa"/>
            <w:gridSpan w:val="8"/>
            <w:shd w:val="clear" w:color="auto" w:fill="FFFF99"/>
            <w:vAlign w:val="center"/>
            <w:hideMark/>
          </w:tcPr>
          <w:p w:rsidR="00A468A6" w:rsidRPr="00E56B86" w:rsidRDefault="00E56B86" w:rsidP="00A468A6">
            <w:pPr>
              <w:pStyle w:val="BodyText"/>
              <w:spacing w:after="0"/>
              <w:rPr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Контролна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мјера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је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1:1, 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овом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случају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је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1</w:t>
            </w:r>
            <w:proofErr w:type="gramStart"/>
            <w:r w:rsidR="00A468A6" w:rsidRPr="00E56B86">
              <w:rPr>
                <w:color w:val="000000" w:themeColor="text1"/>
                <w:sz w:val="24"/>
                <w:szCs w:val="24"/>
              </w:rPr>
              <w:t>,0317</w:t>
            </w:r>
            <w:proofErr w:type="gramEnd"/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: 10 </w:t>
            </w:r>
            <w:r>
              <w:rPr>
                <w:color w:val="000000" w:themeColor="text1"/>
                <w:sz w:val="24"/>
                <w:szCs w:val="24"/>
              </w:rPr>
              <w:t>тако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да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можемо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рећи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како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имовина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залихе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нису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финанциране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из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краткорочних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извора</w:t>
            </w:r>
            <w:r w:rsidR="00A468A6" w:rsidRPr="00E56B8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A468A6" w:rsidRPr="00E56B86" w:rsidRDefault="00A468A6" w:rsidP="00A468A6">
      <w:pPr>
        <w:jc w:val="both"/>
        <w:rPr>
          <w:b/>
          <w:bCs/>
          <w:color w:val="000000" w:themeColor="text1"/>
        </w:rPr>
      </w:pPr>
      <w:r w:rsidRPr="00E56B86">
        <w:rPr>
          <w:b/>
          <w:bCs/>
          <w:color w:val="000000" w:themeColor="text1"/>
        </w:rPr>
        <w:t xml:space="preserve"> (5 </w:t>
      </w:r>
      <w:r w:rsidR="00E56B86" w:rsidRPr="00E56B86">
        <w:rPr>
          <w:b/>
          <w:bCs/>
          <w:color w:val="000000" w:themeColor="text1"/>
        </w:rPr>
        <w:t>бодова</w:t>
      </w:r>
      <w:r w:rsidRPr="00E56B86">
        <w:rPr>
          <w:b/>
          <w:bCs/>
          <w:color w:val="000000" w:themeColor="text1"/>
        </w:rPr>
        <w:t>)</w:t>
      </w:r>
    </w:p>
    <w:p w:rsidR="00A468A6" w:rsidRPr="00864050" w:rsidRDefault="00E56B86" w:rsidP="00A468A6">
      <w:pPr>
        <w:pBdr>
          <w:top w:val="single" w:sz="8" w:space="1" w:color="000080"/>
          <w:left w:val="single" w:sz="8" w:space="4" w:color="000080"/>
          <w:bottom w:val="single" w:sz="8" w:space="1" w:color="000080"/>
          <w:right w:val="single" w:sz="8" w:space="4" w:color="000080"/>
        </w:pBd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Закључак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би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био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да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подузеће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има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прилично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добре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резултате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показатеља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солвентности</w:t>
      </w:r>
      <w:r w:rsidR="00A468A6" w:rsidRPr="00E56B86">
        <w:rPr>
          <w:b/>
          <w:bCs/>
          <w:color w:val="000000" w:themeColor="text1"/>
        </w:rPr>
        <w:t xml:space="preserve">, </w:t>
      </w:r>
      <w:r>
        <w:rPr>
          <w:b/>
          <w:bCs/>
          <w:color w:val="000000" w:themeColor="text1"/>
        </w:rPr>
        <w:t>тј</w:t>
      </w:r>
      <w:r w:rsidR="00A468A6" w:rsidRPr="00E56B86">
        <w:rPr>
          <w:b/>
          <w:bCs/>
          <w:color w:val="000000" w:themeColor="text1"/>
        </w:rPr>
        <w:t xml:space="preserve">. </w:t>
      </w:r>
      <w:proofErr w:type="gramStart"/>
      <w:r>
        <w:rPr>
          <w:b/>
          <w:bCs/>
          <w:color w:val="000000" w:themeColor="text1"/>
        </w:rPr>
        <w:t>постоји</w:t>
      </w:r>
      <w:proofErr w:type="gramEnd"/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дугорочна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финансијска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стабилност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унутар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капиталне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финанцијске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структуре</w:t>
      </w:r>
      <w:r w:rsidR="00A468A6" w:rsidRPr="00E56B8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подузећа</w:t>
      </w:r>
      <w:r w:rsidR="00A468A6" w:rsidRPr="00E56B86">
        <w:rPr>
          <w:b/>
          <w:bCs/>
          <w:color w:val="000000" w:themeColor="text1"/>
        </w:rPr>
        <w:t>.</w:t>
      </w:r>
    </w:p>
    <w:sectPr w:rsidR="00A468A6" w:rsidRPr="00864050" w:rsidSect="00A670C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EE" w:rsidRDefault="002A39EE">
      <w:r>
        <w:separator/>
      </w:r>
    </w:p>
  </w:endnote>
  <w:endnote w:type="continuationSeparator" w:id="0">
    <w:p w:rsidR="002A39EE" w:rsidRDefault="002A3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03" w:rsidRDefault="001716C1" w:rsidP="005F4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50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5003" w:rsidRDefault="00075003" w:rsidP="002A02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03" w:rsidRDefault="001716C1" w:rsidP="005F4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50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ECF">
      <w:rPr>
        <w:rStyle w:val="PageNumber"/>
        <w:noProof/>
      </w:rPr>
      <w:t>3</w:t>
    </w:r>
    <w:r>
      <w:rPr>
        <w:rStyle w:val="PageNumber"/>
      </w:rPr>
      <w:fldChar w:fldCharType="end"/>
    </w:r>
  </w:p>
  <w:p w:rsidR="00075003" w:rsidRDefault="00075003" w:rsidP="002A026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EE" w:rsidRDefault="002A39EE">
      <w:r>
        <w:separator/>
      </w:r>
    </w:p>
  </w:footnote>
  <w:footnote w:type="continuationSeparator" w:id="0">
    <w:p w:rsidR="002A39EE" w:rsidRDefault="002A3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4BEB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A542A4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38203F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7F66F2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B2E2BEB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EA24864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0463C9A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24667A1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A353183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CF1279D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13141A8"/>
    <w:multiLevelType w:val="hybridMultilevel"/>
    <w:tmpl w:val="F7F2BC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244E7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AD10918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0424AE5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69F67D7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1A83447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6354F7D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81E1EC9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EBE382E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C2601D5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CFA4E6F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2"/>
  </w:num>
  <w:num w:numId="9">
    <w:abstractNumId w:val="9"/>
  </w:num>
  <w:num w:numId="10">
    <w:abstractNumId w:val="16"/>
  </w:num>
  <w:num w:numId="11">
    <w:abstractNumId w:val="5"/>
  </w:num>
  <w:num w:numId="12">
    <w:abstractNumId w:val="18"/>
  </w:num>
  <w:num w:numId="13">
    <w:abstractNumId w:val="20"/>
  </w:num>
  <w:num w:numId="14">
    <w:abstractNumId w:val="4"/>
  </w:num>
  <w:num w:numId="15">
    <w:abstractNumId w:val="3"/>
  </w:num>
  <w:num w:numId="16">
    <w:abstractNumId w:val="6"/>
  </w:num>
  <w:num w:numId="17">
    <w:abstractNumId w:val="1"/>
  </w:num>
  <w:num w:numId="18">
    <w:abstractNumId w:val="13"/>
  </w:num>
  <w:num w:numId="19">
    <w:abstractNumId w:val="19"/>
  </w:num>
  <w:num w:numId="20">
    <w:abstractNumId w:val="17"/>
  </w:num>
  <w:num w:numId="21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D5A"/>
    <w:rsid w:val="0001080B"/>
    <w:rsid w:val="00014DC4"/>
    <w:rsid w:val="000561BD"/>
    <w:rsid w:val="00075003"/>
    <w:rsid w:val="00082276"/>
    <w:rsid w:val="000B1CE1"/>
    <w:rsid w:val="000B5CBC"/>
    <w:rsid w:val="00134A56"/>
    <w:rsid w:val="0013608C"/>
    <w:rsid w:val="001716C1"/>
    <w:rsid w:val="00185F8E"/>
    <w:rsid w:val="001B0A1C"/>
    <w:rsid w:val="001F7273"/>
    <w:rsid w:val="002143DB"/>
    <w:rsid w:val="002470A6"/>
    <w:rsid w:val="002A026D"/>
    <w:rsid w:val="002A39EE"/>
    <w:rsid w:val="002A57AF"/>
    <w:rsid w:val="002B062B"/>
    <w:rsid w:val="00356AAC"/>
    <w:rsid w:val="003736F2"/>
    <w:rsid w:val="003B503A"/>
    <w:rsid w:val="003D6FC3"/>
    <w:rsid w:val="00401551"/>
    <w:rsid w:val="00404A12"/>
    <w:rsid w:val="00431913"/>
    <w:rsid w:val="0048102A"/>
    <w:rsid w:val="00483088"/>
    <w:rsid w:val="004C19B2"/>
    <w:rsid w:val="004E3CC9"/>
    <w:rsid w:val="004F5B87"/>
    <w:rsid w:val="00545882"/>
    <w:rsid w:val="00555916"/>
    <w:rsid w:val="00593078"/>
    <w:rsid w:val="005D3111"/>
    <w:rsid w:val="005D3CEE"/>
    <w:rsid w:val="005F48CE"/>
    <w:rsid w:val="005F51B1"/>
    <w:rsid w:val="00610E81"/>
    <w:rsid w:val="006172FC"/>
    <w:rsid w:val="0064701C"/>
    <w:rsid w:val="006729B5"/>
    <w:rsid w:val="006916EE"/>
    <w:rsid w:val="006956A7"/>
    <w:rsid w:val="00696ACF"/>
    <w:rsid w:val="00697900"/>
    <w:rsid w:val="006C38D4"/>
    <w:rsid w:val="006E60CF"/>
    <w:rsid w:val="007131C6"/>
    <w:rsid w:val="00713D3F"/>
    <w:rsid w:val="007755CE"/>
    <w:rsid w:val="007B19F2"/>
    <w:rsid w:val="007D6495"/>
    <w:rsid w:val="007D6BD2"/>
    <w:rsid w:val="007E095E"/>
    <w:rsid w:val="007E668A"/>
    <w:rsid w:val="007E74EF"/>
    <w:rsid w:val="00862438"/>
    <w:rsid w:val="00871A5B"/>
    <w:rsid w:val="00891A05"/>
    <w:rsid w:val="00892A23"/>
    <w:rsid w:val="008E2D01"/>
    <w:rsid w:val="008F4F21"/>
    <w:rsid w:val="009C1897"/>
    <w:rsid w:val="009E6BB7"/>
    <w:rsid w:val="009F0467"/>
    <w:rsid w:val="00A468A6"/>
    <w:rsid w:val="00A670CA"/>
    <w:rsid w:val="00AF44C8"/>
    <w:rsid w:val="00B107BA"/>
    <w:rsid w:val="00B2250D"/>
    <w:rsid w:val="00B75155"/>
    <w:rsid w:val="00B8227E"/>
    <w:rsid w:val="00C1778F"/>
    <w:rsid w:val="00C2412A"/>
    <w:rsid w:val="00C61008"/>
    <w:rsid w:val="00C7165C"/>
    <w:rsid w:val="00C76ECF"/>
    <w:rsid w:val="00C83A68"/>
    <w:rsid w:val="00CA7822"/>
    <w:rsid w:val="00CD618B"/>
    <w:rsid w:val="00CF5D5A"/>
    <w:rsid w:val="00D00D9D"/>
    <w:rsid w:val="00D826D6"/>
    <w:rsid w:val="00D924DA"/>
    <w:rsid w:val="00D92AC8"/>
    <w:rsid w:val="00DC0C18"/>
    <w:rsid w:val="00DC6E2B"/>
    <w:rsid w:val="00E56B86"/>
    <w:rsid w:val="00E92E1E"/>
    <w:rsid w:val="00EB3566"/>
    <w:rsid w:val="00EC270C"/>
    <w:rsid w:val="00EF047E"/>
    <w:rsid w:val="00F646E7"/>
    <w:rsid w:val="00F83249"/>
    <w:rsid w:val="00FB2099"/>
    <w:rsid w:val="00FD1319"/>
    <w:rsid w:val="00FE24C2"/>
    <w:rsid w:val="00FF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odlomak">
    <w:name w:val="pododlomak"/>
    <w:rsid w:val="00CF5D5A"/>
    <w:pPr>
      <w:widowControl w:val="0"/>
      <w:tabs>
        <w:tab w:val="left" w:pos="907"/>
      </w:tabs>
      <w:autoSpaceDE w:val="0"/>
      <w:autoSpaceDN w:val="0"/>
      <w:adjustRightInd w:val="0"/>
      <w:spacing w:after="57" w:line="250" w:lineRule="atLeast"/>
      <w:ind w:left="907" w:hanging="340"/>
      <w:jc w:val="both"/>
    </w:pPr>
    <w:rPr>
      <w:rFonts w:ascii="Dotum" w:eastAsia="Dotum" w:hAnsi="Times New Roman"/>
    </w:rPr>
  </w:style>
  <w:style w:type="paragraph" w:styleId="Footer">
    <w:name w:val="footer"/>
    <w:basedOn w:val="Normal"/>
    <w:link w:val="FooterChar"/>
    <w:uiPriority w:val="99"/>
    <w:rsid w:val="002A026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28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A026D"/>
    <w:rPr>
      <w:rFonts w:cs="Times New Roman"/>
    </w:rPr>
  </w:style>
  <w:style w:type="paragraph" w:styleId="NoSpacing">
    <w:name w:val="No Spacing"/>
    <w:qFormat/>
    <w:rsid w:val="00DC0C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6FC3"/>
    <w:pPr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semiHidden/>
    <w:unhideWhenUsed/>
    <w:rsid w:val="003D6FC3"/>
    <w:pPr>
      <w:spacing w:after="120"/>
    </w:pPr>
    <w:rPr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3D6FC3"/>
    <w:rPr>
      <w:rFonts w:ascii="Times New Roman" w:eastAsia="Times New Roman" w:hAnsi="Times New Roman"/>
      <w:sz w:val="28"/>
      <w:lang w:val="en-AU"/>
    </w:rPr>
  </w:style>
  <w:style w:type="table" w:styleId="TableGrid">
    <w:name w:val="Table Grid"/>
    <w:basedOn w:val="TableNormal"/>
    <w:locked/>
    <w:rsid w:val="003D6FC3"/>
    <w:rPr>
      <w:rFonts w:ascii="Times New Roman" w:eastAsia="Times New Roman" w:hAnsi="Times New Roman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14B7F-5031-4997-8222-D1F4A631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NADzDz</dc:creator>
  <cp:lastModifiedBy>Lenovo</cp:lastModifiedBy>
  <cp:revision>4</cp:revision>
  <dcterms:created xsi:type="dcterms:W3CDTF">2014-05-13T10:36:00Z</dcterms:created>
  <dcterms:modified xsi:type="dcterms:W3CDTF">2014-06-17T07:41:00Z</dcterms:modified>
</cp:coreProperties>
</file>